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20"/>
        <w:gridCol w:w="2374"/>
        <w:gridCol w:w="6951"/>
        <w:gridCol w:w="1152"/>
        <w:gridCol w:w="1908"/>
      </w:tblGrid>
      <w:tr w:rsidR="00AB7F0F" w:rsidRPr="00AB7F0F" w:rsidTr="00AB7F0F">
        <w:trPr>
          <w:trHeight w:val="945"/>
        </w:trPr>
        <w:tc>
          <w:tcPr>
            <w:tcW w:w="1920" w:type="dxa"/>
            <w:shd w:val="clear" w:color="auto" w:fill="auto"/>
            <w:noWrap/>
            <w:vAlign w:val="bottom"/>
            <w:hideMark/>
          </w:tcPr>
          <w:p w:rsidR="00AB7F0F" w:rsidRPr="00AB7F0F" w:rsidRDefault="00AB7F0F" w:rsidP="00AB7F0F">
            <w:pPr>
              <w:spacing w:line="240" w:lineRule="auto"/>
              <w:rPr>
                <w:rFonts w:ascii="Arial" w:eastAsia="Times New Roman" w:hAnsi="Arial" w:cs="Arial"/>
                <w:b/>
                <w:bCs/>
                <w:color w:val="000000"/>
                <w:sz w:val="24"/>
                <w:szCs w:val="24"/>
              </w:rPr>
            </w:pPr>
            <w:r w:rsidRPr="00AB7F0F">
              <w:rPr>
                <w:rFonts w:ascii="Arial" w:eastAsia="Times New Roman" w:hAnsi="Arial" w:cs="Arial"/>
                <w:b/>
                <w:bCs/>
                <w:color w:val="000000"/>
                <w:sz w:val="24"/>
                <w:szCs w:val="24"/>
              </w:rPr>
              <w:t>NTA #</w:t>
            </w:r>
          </w:p>
        </w:tc>
        <w:tc>
          <w:tcPr>
            <w:tcW w:w="2374" w:type="dxa"/>
            <w:shd w:val="clear" w:color="auto" w:fill="auto"/>
            <w:vAlign w:val="bottom"/>
            <w:hideMark/>
          </w:tcPr>
          <w:p w:rsidR="00AB7F0F" w:rsidRPr="00AB7F0F" w:rsidRDefault="00AB7F0F" w:rsidP="00AB7F0F">
            <w:pPr>
              <w:spacing w:line="240" w:lineRule="auto"/>
              <w:rPr>
                <w:rFonts w:ascii="Arial" w:eastAsia="Times New Roman" w:hAnsi="Arial" w:cs="Arial"/>
                <w:b/>
                <w:bCs/>
                <w:color w:val="000000"/>
                <w:sz w:val="24"/>
                <w:szCs w:val="24"/>
              </w:rPr>
            </w:pPr>
            <w:r w:rsidRPr="00AB7F0F">
              <w:rPr>
                <w:rFonts w:ascii="Arial" w:eastAsia="Times New Roman" w:hAnsi="Arial" w:cs="Arial"/>
                <w:b/>
                <w:bCs/>
                <w:color w:val="000000"/>
                <w:sz w:val="24"/>
                <w:szCs w:val="24"/>
              </w:rPr>
              <w:t>Short Title / Performance Measure #</w:t>
            </w:r>
          </w:p>
        </w:tc>
        <w:tc>
          <w:tcPr>
            <w:tcW w:w="6951" w:type="dxa"/>
            <w:shd w:val="clear" w:color="auto" w:fill="auto"/>
            <w:vAlign w:val="bottom"/>
            <w:hideMark/>
          </w:tcPr>
          <w:p w:rsidR="00AB7F0F" w:rsidRPr="00AB7F0F" w:rsidRDefault="00AB7F0F" w:rsidP="00AB7F0F">
            <w:pPr>
              <w:spacing w:line="240" w:lineRule="auto"/>
              <w:rPr>
                <w:rFonts w:ascii="Arial" w:eastAsia="Times New Roman" w:hAnsi="Arial" w:cs="Arial"/>
                <w:b/>
                <w:bCs/>
                <w:color w:val="000000"/>
                <w:sz w:val="24"/>
                <w:szCs w:val="24"/>
              </w:rPr>
            </w:pPr>
            <w:r w:rsidRPr="00AB7F0F">
              <w:rPr>
                <w:rFonts w:ascii="Arial" w:eastAsia="Times New Roman" w:hAnsi="Arial" w:cs="Arial"/>
                <w:b/>
                <w:bCs/>
                <w:color w:val="000000"/>
                <w:sz w:val="24"/>
                <w:szCs w:val="24"/>
              </w:rPr>
              <w:t>Description</w:t>
            </w:r>
          </w:p>
        </w:tc>
        <w:tc>
          <w:tcPr>
            <w:tcW w:w="1152" w:type="dxa"/>
            <w:shd w:val="clear" w:color="auto" w:fill="auto"/>
            <w:vAlign w:val="bottom"/>
            <w:hideMark/>
          </w:tcPr>
          <w:p w:rsidR="00AB7F0F" w:rsidRPr="00AB7F0F" w:rsidRDefault="00AB7F0F" w:rsidP="00AB7F0F">
            <w:pPr>
              <w:spacing w:line="240" w:lineRule="auto"/>
              <w:rPr>
                <w:rFonts w:ascii="Arial" w:eastAsia="Times New Roman" w:hAnsi="Arial" w:cs="Arial"/>
                <w:b/>
                <w:bCs/>
                <w:color w:val="000000"/>
                <w:sz w:val="24"/>
                <w:szCs w:val="24"/>
              </w:rPr>
            </w:pPr>
            <w:r w:rsidRPr="00AB7F0F">
              <w:rPr>
                <w:rFonts w:ascii="Arial" w:eastAsia="Times New Roman" w:hAnsi="Arial" w:cs="Arial"/>
                <w:b/>
                <w:bCs/>
                <w:color w:val="000000"/>
                <w:sz w:val="24"/>
                <w:szCs w:val="24"/>
              </w:rPr>
              <w:t>Target Date</w:t>
            </w:r>
          </w:p>
        </w:tc>
        <w:tc>
          <w:tcPr>
            <w:tcW w:w="1908" w:type="dxa"/>
            <w:shd w:val="clear" w:color="auto" w:fill="auto"/>
            <w:vAlign w:val="bottom"/>
            <w:hideMark/>
          </w:tcPr>
          <w:p w:rsidR="00AB7F0F" w:rsidRPr="00AB7F0F" w:rsidRDefault="00AB7F0F" w:rsidP="00AB7F0F">
            <w:pPr>
              <w:spacing w:line="240" w:lineRule="auto"/>
              <w:rPr>
                <w:rFonts w:ascii="Arial" w:eastAsia="Times New Roman" w:hAnsi="Arial" w:cs="Arial"/>
                <w:b/>
                <w:bCs/>
                <w:color w:val="000000"/>
                <w:sz w:val="24"/>
                <w:szCs w:val="24"/>
              </w:rPr>
            </w:pPr>
            <w:r w:rsidRPr="00AB7F0F">
              <w:rPr>
                <w:rFonts w:ascii="Arial" w:eastAsia="Times New Roman" w:hAnsi="Arial" w:cs="Arial"/>
                <w:b/>
                <w:bCs/>
                <w:color w:val="000000"/>
                <w:sz w:val="24"/>
                <w:szCs w:val="24"/>
              </w:rPr>
              <w:t>Owner</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C5.3.SS1</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Mason County enhanced septic repair grant and loan program.</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Achieve a self-sustaining septic repair loan program through a partnership with Craft3, expressly targeting shellfish reopening and/or preserved open status in Oakland Bay, North Bay, Hammersley, Totten, and Little Skookum Inlet watersheds.</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Number of inquiries.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Number of completed loans.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100% of septic system receiving loans repaired.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4</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Net acres of shellfish beds re-opened.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5</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Funded by 2016.</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12/31/2016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C5.3.SS2</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Thurston County enhanced septic repair grant and loan program.</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Achieve a self-sustaining septic repair grant and loan program, expressly targeting shellfish reopening and/or preserved open status in Henderson and Eld Inlet watersheds.</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C5.3.SS2</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Number of inquiries.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C5.3.SS2</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Number of completed loans.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C5.3.SS2</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100% of septic system receiving loans repaired.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C5.3.SS2</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4</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Net acres of shellfish beds re-opened.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C5.3.SS2</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5</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Funded by 2016.</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12/31/2016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C5.3.SS3</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Pierce County enhanced septic repair grant and loan program.</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Achieve a self-sustaining septic repair grant and loan programs, expressly targeting shellfish reopening and/or preserved open status in Nisqually, Case, Pickering, Carr and Island Inlet watersheds.</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C5.3.SS3</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Funded by 2016.</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12/31/2016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E1.4.SS4</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NPDES municipal stormwater permit implementation funding strategy development.</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Municipal stormwater jurisdictions will develop a funding strategy to achieve a balance of local, state and federal funding for their stormwater programs, as needed.</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67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E1.4.SS4</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municipal stormwater jurisdictions will convene a meeting of stormwater permittees/stakeholders to determine the framework, process, and key issues to be included in a funding strategy that includes an agreed upon balance of local, state, and federal funding.</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67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lastRenderedPageBreak/>
              <w:t>E1.4.SS4</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municipal stormwater jurisdictions will develop a funding strategy draft, vetted by a task force from the first set of meetings, for presentation to, and as a start to negotiations with, federal and state partners.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C2.5.SS5</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Small community stormwater reduction program.</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Develop and enhance program with education, advocacy, and restoration elements addressing non-NPDES mandated stormwater programs in small communities.</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67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C2.5.SS5</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Develop or enhance programs with education, advocacy, and restoration elements in each of the following communities: Oakland Bay, Hammersley Inlet, Case Inlet, Pickering Passage, and Nisqually Watershed.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DD6ADD">
        <w:trPr>
          <w:trHeight w:val="953"/>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C2.5.SS5</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Program measures for the development and enhancement of these programs should include the following: By June 2015, outline pilot programs and enhancements, as well as identify success measures - Integrate with other ongoing programs where feasible; By December 2015, implement programs; By January 2016, evaluate and report; By June 2016, adapt all programs to use successful measures.</w:t>
            </w:r>
            <w:bookmarkStart w:id="0" w:name="_GoBack"/>
            <w:bookmarkEnd w:id="0"/>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C2.1.SS6</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South Puget Sound nutrient reduction strategy.</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Implement nutrient reduction strategies as recommended in the Ecology dissolved oxygen study or as indicated from modeling results based on that report.</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C2.1.SS6</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begin discussions with Ecology to identify recommendations for nutrient reduction.</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C2.1.SS6</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Continue to track dissolved oxygen study.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67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C2.1.SS6</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Alliance for a Healthy South Sound (LIO) technical team will work with the Ecology to develop specific recommendations for sub-basin nutrient reduction plans (based on dissolved oxygen report) in South Sound.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Alliance for a Healthy South Sound LIO</w:t>
            </w:r>
          </w:p>
        </w:tc>
      </w:tr>
      <w:tr w:rsidR="00AB7F0F" w:rsidRPr="00AB7F0F" w:rsidTr="00AB7F0F">
        <w:trPr>
          <w:trHeight w:val="900"/>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C1.4.SS7</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Prevention of pollution and/or recovery of shellfish beds through education, outreach, and advocacy.</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Customize outreach efforts aimed at each watershed-inlet for citizen involvement and improved effectiveness to achieve behavioral change through ECO Net.</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67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C1.4.SS7</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develop and launch a pilot program in two inlets that is specific to that inlet but that has categories that can be adapted to the needs of other inlets, addresses pollution prevention and/or shellfish recovery, and identifies clear measures of success.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C1.4.SS7</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adapt that program to the other inlets.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B2.2.SS8</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Johns Creek (Bayshore) Estuary restoration.</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Restore John’s Creek (Bayshore) Estuary, a Puget Sound Nearshore Estuarine Restoration Program project.</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B2.2.SS8</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acquire, protect and fully restore 74 acres of biologically sensitive and culturally significant estuary, nearshore, riparian, and Puget Sound oak prairie habitat.</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B2.2.SS9</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Deschutes River Estuary restoration.</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Remove the 5th Avenue dam and restore 346 acres of estuarine and intertidal habitat. The project was recommended by the Capitol Lake Adaptive Management Plan steering committee and is a WRIA 13 Lead Entity and Puget Sound Nearshore Estuarine Restoration Program priority project.</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B2.2.SS9</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develop funding strategy.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B2.2.SS9</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outline state legislative strategy.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B2.2.SS9</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Support Puget Sound Nearshore Estuarine Restoration Program efforts to obtain federal support.</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B2.2.SS9</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4</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Build community support for estuary restoration by holding quarterly public meetings.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lastRenderedPageBreak/>
              <w:t>B2.2.SS9</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5</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complete strategy.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Squaxin Island Tribe</w:t>
            </w:r>
          </w:p>
        </w:tc>
      </w:tr>
      <w:tr w:rsidR="00AB7F0F" w:rsidRPr="00AB7F0F" w:rsidTr="00AB7F0F">
        <w:trPr>
          <w:trHeight w:val="450"/>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B2.2.SS10</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Sequalitchew Creek restoration.</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Restore Sequalitchew Creek, a Puget Sound Nearshore Estuarine Restoration Program project.</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South Puget Sound Salmon Enhancement Group</w:t>
            </w:r>
          </w:p>
        </w:tc>
      </w:tr>
      <w:tr w:rsidR="00AB7F0F" w:rsidRPr="00AB7F0F" w:rsidTr="00AB7F0F">
        <w:trPr>
          <w:trHeight w:val="7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B2.2.SS10</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develop funding strategy.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South Puget Sound Salmon Enhancement Group</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B2.2.SS10</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Meet quarterly with landowners to further develop the recommended restoration action plans.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South Puget Sound Salmon Enhancement Group</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B2.2.SS10</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Continue discussions to update appropriate City of DuPont critical areas ordinances to allow for restoration actions to occur within the city.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South Puget Sound Salmon Enhancement Group</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B2.2.SS10</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4</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Plan and implement appropriate watershed monitoring activities and involve local citizens.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South Puget Sound Salmon Enhancement Group</w:t>
            </w:r>
          </w:p>
        </w:tc>
      </w:tr>
      <w:tr w:rsidR="00AB7F0F" w:rsidRPr="00AB7F0F" w:rsidTr="00AB7F0F">
        <w:trPr>
          <w:trHeight w:val="900"/>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B2.2.SS11</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Chambers Bay estuarine and riparian enhancement project.</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Enhance estuarine habitat structure, increase salt marsh, and restore marine riparian habitat within and around Chambers Bay, a Puget Sound Nearshore Estuarine Restoration Program project. These actions will improve shallow-water refuge, increase foraging opportunity, and improve rearing capacity of the shoreline for salmon, particularly early life stages of Chinook, chum and pink salmon.</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WRIA 10/12 Lead Entity</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B2.2.SS11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complete the feasibility study and resolve the dam ownership and maintenance responsibility.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10/12 Lead Entity</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B2.2.SS11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meet with stakeholders to coordinate fish passage and management responsibilities.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10/12 Lead Entity</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B2.2.SS11</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develop list of funding opportunities to scope and design the next project phase.</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10/12 Lead Entity</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A6.1.SS12</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Salmon recovery 3-year work plan implementation—WRIA 10/12.</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Each lead entity will implement at least one top tier project each year from their South Sound Salmon Recovery 3-Year Work Plan. They will determine year one project and set up performance measures at the start of each fiscal year.</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WRIA 10/12 Lead Entity</w:t>
            </w:r>
          </w:p>
        </w:tc>
      </w:tr>
      <w:tr w:rsidR="00AB7F0F" w:rsidRPr="00AB7F0F" w:rsidTr="00AB7F0F">
        <w:trPr>
          <w:trHeight w:val="67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A6.1.SS12</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target funding to the highest priority salmon recovery projects between 2014 and 2016, as listed in 3-year work plan for WRIA 10/12 Lead Entity. Projects may include acquisition, protection, and/or restoration actions.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10/12 Lead Entity</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A6.1.SS13</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Salmon recovery 3-year work plan implementation—WRIA 13.</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Each lead entity will implement at least one top tier project each year from their South Sound Salmon Recovery 3-Year Work Plan. They will determine year one project and set up performance measures at the start of each fiscal year.</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WRIA 13 Lead Entity</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A6.1.SS13</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Between 2014 and 2016, target funding to the highest priority salmon recovery projects, as listed in 3-year work plan for WRIA 13. Projects may include acquisition, protection, and/or restoration actions.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12/31/2016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13 Lead Entity</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A6.1.SS14</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Salmon recovery 3-year work plan implementation—WRIA 14.</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Each lead entity will implement at least one top tier project each year from their South Sound Salmon Recovery 3-Year Work Plan. They will determine year one project and set up performance measures at the start of each fiscal year.</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WRIA 14 Lead Entity</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A6.1.SS14</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Between 2014 and 2016, target funding to the highest priority salmon recovery projects as listed in 3-year work plan for WRIA 14. Projects may include acquisition, protection, and/or restoration actions.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12/31/2016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14 Lead Entity</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A6.1.SS15</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Salmon recovery 3-year work plan implementation—WRIA 11.</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Each lead entity will implement at least one top tier project each year from their South Sound Salmon Recovery 3-Year Work Plan. They will determine year one project and set up performance measures at the start of each fiscal year.</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WRIA 11 Lead Entity</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lastRenderedPageBreak/>
              <w:t>A6.1.SS15</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Complete acquisition of 250-acre McKenna Ranch property.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11 Lead Entity</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A6.1.SS15</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Begin floodplain restoration of McKenna Ranch property.</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11 Lead Entity</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A6.1.SS15</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Complete analysis, including modeling, and restoration designs for lower Nisqually/upper Nisqually estuary restoration.</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11 Lead Entity</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A6.1.SS15</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4</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Begin acquisition and restoration planning for Wilcox Reach.</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WRIA 11 Lead Entity</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A6.1.SS16</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Salmon recovery 3-year work plan implementation—WRIA 15.</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Each lead entity will implement at least one high priority project each year from their South Sound Salmon Recovery 3-Year Work Plan. They will determine year one project and set up performance measures at the start of each fiscal year.</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West Sound Watersheds Council</w:t>
            </w:r>
          </w:p>
        </w:tc>
      </w:tr>
      <w:tr w:rsidR="00AB7F0F" w:rsidRPr="00AB7F0F" w:rsidTr="00AB7F0F">
        <w:trPr>
          <w:trHeight w:val="67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A6.1.SS16</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Between 2014 and 2016, target funding to the highest priority salmon recovery projects as listed in 3-year work plan in the West Sound Watersheds Lead Entity. Projects may include acquisition, protection, and/or restoration actions.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12/31/2016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West Sound Watersheds Council</w:t>
            </w:r>
          </w:p>
        </w:tc>
      </w:tr>
      <w:tr w:rsidR="00AB7F0F" w:rsidRPr="00AB7F0F" w:rsidTr="00AB7F0F">
        <w:trPr>
          <w:trHeight w:val="900"/>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C1.4.SS17</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Habitat and shellfish recovery through education and outreach.</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Implement the Shore Stewards Program throughout the South Puget Sound Action Area. The voluntary program engages shoreline homeowners to implement BMPs and behavior practices to reduce pollutant inputs and to improve habitat. Develop a local welcome packet to engage, connect, and educate new shoreline homeowners about local issues and resources available to them.</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C1.4.SS17</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report number of new shore stewards signed up.</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C1.4.SS17</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Every 2 years, conduct self-reporting survey to identify the number of shore stewards reporting behavior changes as a result of the program.</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C1.4.SS17</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3</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report number of new shoreline property owners reached.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C1.4.SS17</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4</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2016, report number of additional contacts for assistance resulting from the welcome packets.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C1.4.SS17</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5</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Net acres of shellfish beds re-opened.</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Washington State University Extension</w:t>
            </w:r>
          </w:p>
        </w:tc>
      </w:tr>
      <w:tr w:rsidR="00AB7F0F" w:rsidRPr="00AB7F0F" w:rsidTr="00AB7F0F">
        <w:trPr>
          <w:trHeight w:val="675"/>
        </w:trPr>
        <w:tc>
          <w:tcPr>
            <w:tcW w:w="1920" w:type="dxa"/>
            <w:shd w:val="clear" w:color="000000" w:fill="CDCCCC"/>
            <w:noWrap/>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B2.1.SS18</w:t>
            </w:r>
          </w:p>
        </w:tc>
        <w:tc>
          <w:tcPr>
            <w:tcW w:w="2374"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McNeil Island long-term conservation and low-impact public access.</w:t>
            </w:r>
          </w:p>
        </w:tc>
        <w:tc>
          <w:tcPr>
            <w:tcW w:w="6951"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Track state efforts to determine the long-term management strategy of McNeil Island. Support protection and restoration of habitat and natural resources of the island for low-impact public access.</w:t>
            </w:r>
          </w:p>
        </w:tc>
        <w:tc>
          <w:tcPr>
            <w:tcW w:w="1152"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 </w:t>
            </w:r>
          </w:p>
        </w:tc>
        <w:tc>
          <w:tcPr>
            <w:tcW w:w="1908" w:type="dxa"/>
            <w:shd w:val="clear" w:color="000000" w:fill="CDCCCC"/>
            <w:hideMark/>
          </w:tcPr>
          <w:p w:rsidR="00AB7F0F" w:rsidRPr="00AB7F0F" w:rsidRDefault="00AB7F0F" w:rsidP="00AB7F0F">
            <w:pPr>
              <w:spacing w:line="240" w:lineRule="auto"/>
              <w:rPr>
                <w:rFonts w:ascii="Arial" w:eastAsia="Times New Roman" w:hAnsi="Arial" w:cs="Arial"/>
                <w:color w:val="000000"/>
                <w:sz w:val="16"/>
                <w:szCs w:val="16"/>
              </w:rPr>
            </w:pPr>
            <w:r w:rsidRPr="00AB7F0F">
              <w:rPr>
                <w:rFonts w:ascii="Arial" w:eastAsia="Times New Roman" w:hAnsi="Arial" w:cs="Arial"/>
                <w:color w:val="000000"/>
                <w:sz w:val="16"/>
                <w:szCs w:val="16"/>
              </w:rPr>
              <w:t>Pierce County</w:t>
            </w:r>
          </w:p>
        </w:tc>
      </w:tr>
      <w:tr w:rsidR="00AB7F0F" w:rsidRPr="00AB7F0F" w:rsidTr="00AB7F0F">
        <w:trPr>
          <w:trHeight w:val="255"/>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B2.1.SS18</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1</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By June 2015, determine current status of McNeil Island ownership and management.</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6/30/2015</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Pierce County</w:t>
            </w:r>
          </w:p>
        </w:tc>
      </w:tr>
      <w:tr w:rsidR="00AB7F0F" w:rsidRPr="00AB7F0F" w:rsidTr="00AB7F0F">
        <w:trPr>
          <w:trHeight w:val="450"/>
        </w:trPr>
        <w:tc>
          <w:tcPr>
            <w:tcW w:w="1920" w:type="dxa"/>
            <w:shd w:val="clear" w:color="auto" w:fill="auto"/>
            <w:noWrap/>
            <w:hideMark/>
          </w:tcPr>
          <w:p w:rsidR="00AB7F0F" w:rsidRPr="00AB7F0F" w:rsidRDefault="00AB7F0F" w:rsidP="00AB7F0F">
            <w:pPr>
              <w:spacing w:line="240" w:lineRule="auto"/>
              <w:ind w:firstLineChars="100" w:firstLine="160"/>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B2.1.SS18</w:t>
            </w:r>
          </w:p>
        </w:tc>
        <w:tc>
          <w:tcPr>
            <w:tcW w:w="2374" w:type="dxa"/>
            <w:shd w:val="clear" w:color="auto" w:fill="auto"/>
            <w:hideMark/>
          </w:tcPr>
          <w:p w:rsidR="00AB7F0F" w:rsidRPr="00AB7F0F" w:rsidRDefault="00AB7F0F" w:rsidP="00AB7F0F">
            <w:pPr>
              <w:spacing w:line="240" w:lineRule="auto"/>
              <w:jc w:val="right"/>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2</w:t>
            </w:r>
          </w:p>
        </w:tc>
        <w:tc>
          <w:tcPr>
            <w:tcW w:w="6951"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Semi-annual updates to Alliance for a Healthy South Sound (LIO) Council and Executive Committee from staff and/or invited guests.</w:t>
            </w:r>
          </w:p>
        </w:tc>
        <w:tc>
          <w:tcPr>
            <w:tcW w:w="1152"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6/30/2016</w:t>
            </w:r>
          </w:p>
        </w:tc>
        <w:tc>
          <w:tcPr>
            <w:tcW w:w="1908" w:type="dxa"/>
            <w:shd w:val="clear" w:color="auto" w:fill="auto"/>
            <w:hideMark/>
          </w:tcPr>
          <w:p w:rsidR="00AB7F0F" w:rsidRPr="00AB7F0F" w:rsidRDefault="00AB7F0F" w:rsidP="00AB7F0F">
            <w:pPr>
              <w:spacing w:line="240" w:lineRule="auto"/>
              <w:outlineLvl w:val="0"/>
              <w:rPr>
                <w:rFonts w:ascii="Arial" w:eastAsia="Times New Roman" w:hAnsi="Arial" w:cs="Arial"/>
                <w:color w:val="000000"/>
                <w:sz w:val="16"/>
                <w:szCs w:val="16"/>
              </w:rPr>
            </w:pPr>
            <w:r w:rsidRPr="00AB7F0F">
              <w:rPr>
                <w:rFonts w:ascii="Arial" w:eastAsia="Times New Roman" w:hAnsi="Arial" w:cs="Arial"/>
                <w:color w:val="000000"/>
                <w:sz w:val="16"/>
                <w:szCs w:val="16"/>
              </w:rPr>
              <w:t>Pierce County</w:t>
            </w:r>
          </w:p>
        </w:tc>
      </w:tr>
    </w:tbl>
    <w:p w:rsidR="00C07E26" w:rsidRDefault="00C07E26"/>
    <w:sectPr w:rsidR="00C07E26" w:rsidSect="00AB7F0F">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0F" w:rsidRDefault="00AB7F0F" w:rsidP="00AB7F0F">
      <w:pPr>
        <w:spacing w:line="240" w:lineRule="auto"/>
      </w:pPr>
      <w:r>
        <w:separator/>
      </w:r>
    </w:p>
  </w:endnote>
  <w:endnote w:type="continuationSeparator" w:id="0">
    <w:p w:rsidR="00AB7F0F" w:rsidRDefault="00AB7F0F" w:rsidP="00AB7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885714"/>
      <w:docPartObj>
        <w:docPartGallery w:val="Page Numbers (Bottom of Page)"/>
        <w:docPartUnique/>
      </w:docPartObj>
    </w:sdtPr>
    <w:sdtEndPr>
      <w:rPr>
        <w:noProof/>
      </w:rPr>
    </w:sdtEndPr>
    <w:sdtContent>
      <w:p w:rsidR="00AB7F0F" w:rsidRDefault="00AB7F0F">
        <w:pPr>
          <w:pStyle w:val="Footer"/>
          <w:jc w:val="right"/>
        </w:pPr>
        <w:r>
          <w:fldChar w:fldCharType="begin"/>
        </w:r>
        <w:r>
          <w:instrText xml:space="preserve"> PAGE   \* MERGEFORMAT </w:instrText>
        </w:r>
        <w:r>
          <w:fldChar w:fldCharType="separate"/>
        </w:r>
        <w:r w:rsidR="00DD6ADD">
          <w:rPr>
            <w:noProof/>
          </w:rPr>
          <w:t>2</w:t>
        </w:r>
        <w:r>
          <w:rPr>
            <w:noProof/>
          </w:rPr>
          <w:fldChar w:fldCharType="end"/>
        </w:r>
      </w:p>
    </w:sdtContent>
  </w:sdt>
  <w:p w:rsidR="00AB7F0F" w:rsidRDefault="00AB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0F" w:rsidRDefault="00AB7F0F" w:rsidP="00AB7F0F">
      <w:pPr>
        <w:spacing w:line="240" w:lineRule="auto"/>
      </w:pPr>
      <w:r>
        <w:separator/>
      </w:r>
    </w:p>
  </w:footnote>
  <w:footnote w:type="continuationSeparator" w:id="0">
    <w:p w:rsidR="00AB7F0F" w:rsidRDefault="00AB7F0F" w:rsidP="00AB7F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0F" w:rsidRDefault="00AB7F0F">
    <w:pPr>
      <w:pStyle w:val="Header"/>
    </w:pPr>
    <w:r>
      <w:t>AHSS Near Term Actions – Summary Table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0F"/>
    <w:rsid w:val="004D26EF"/>
    <w:rsid w:val="00AB7F0F"/>
    <w:rsid w:val="00C07E26"/>
    <w:rsid w:val="00DD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10084-A65E-49F3-B677-71242DC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6E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F0F"/>
    <w:pPr>
      <w:tabs>
        <w:tab w:val="center" w:pos="4680"/>
        <w:tab w:val="right" w:pos="9360"/>
      </w:tabs>
      <w:spacing w:line="240" w:lineRule="auto"/>
    </w:pPr>
  </w:style>
  <w:style w:type="character" w:customStyle="1" w:styleId="HeaderChar">
    <w:name w:val="Header Char"/>
    <w:basedOn w:val="DefaultParagraphFont"/>
    <w:link w:val="Header"/>
    <w:uiPriority w:val="99"/>
    <w:rsid w:val="00AB7F0F"/>
  </w:style>
  <w:style w:type="paragraph" w:styleId="Footer">
    <w:name w:val="footer"/>
    <w:basedOn w:val="Normal"/>
    <w:link w:val="FooterChar"/>
    <w:uiPriority w:val="99"/>
    <w:unhideWhenUsed/>
    <w:rsid w:val="00AB7F0F"/>
    <w:pPr>
      <w:tabs>
        <w:tab w:val="center" w:pos="4680"/>
        <w:tab w:val="right" w:pos="9360"/>
      </w:tabs>
      <w:spacing w:line="240" w:lineRule="auto"/>
    </w:pPr>
  </w:style>
  <w:style w:type="character" w:customStyle="1" w:styleId="FooterChar">
    <w:name w:val="Footer Char"/>
    <w:basedOn w:val="DefaultParagraphFont"/>
    <w:link w:val="Footer"/>
    <w:uiPriority w:val="99"/>
    <w:rsid w:val="00AB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7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Chinn</dc:creator>
  <cp:keywords/>
  <dc:description/>
  <cp:lastModifiedBy>Andy Chinn</cp:lastModifiedBy>
  <cp:revision>2</cp:revision>
  <dcterms:created xsi:type="dcterms:W3CDTF">2015-09-11T19:33:00Z</dcterms:created>
  <dcterms:modified xsi:type="dcterms:W3CDTF">2015-09-11T19:40:00Z</dcterms:modified>
</cp:coreProperties>
</file>