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0E9E171" w14:textId="6CE0E65A" w:rsidR="00B968DB" w:rsidRPr="00B968DB" w:rsidRDefault="00B60FDB" w:rsidP="00B968DB">
      <w:pPr>
        <w:spacing w:after="0" w:line="360" w:lineRule="atLeast"/>
        <w:jc w:val="right"/>
        <w:rPr>
          <w:rFonts w:ascii="Trebuchet MS" w:eastAsia="Times New Roman" w:hAnsi="Trebuchet MS" w:cs="Times New Roman"/>
          <w:caps/>
          <w:color w:val="003A5D"/>
          <w:sz w:val="32"/>
          <w:szCs w:val="32"/>
        </w:rPr>
      </w:pPr>
      <w:r w:rsidRPr="00B60FDB">
        <w:rPr>
          <w:rFonts w:ascii="Arial" w:eastAsia="Times New Roman" w:hAnsi="Arial" w:cs="Arial"/>
          <w:i/>
          <w:iCs/>
          <w:noProof/>
          <w:color w:val="000000"/>
          <w:sz w:val="20"/>
          <w:szCs w:val="20"/>
        </w:rPr>
        <mc:AlternateContent>
          <mc:Choice Requires="wps">
            <w:drawing>
              <wp:anchor distT="45720" distB="45720" distL="114300" distR="114300" simplePos="0" relativeHeight="251661312" behindDoc="0" locked="0" layoutInCell="1" allowOverlap="1" wp14:anchorId="50BD7AA6" wp14:editId="2D0CE65C">
                <wp:simplePos x="0" y="0"/>
                <wp:positionH relativeFrom="column">
                  <wp:posOffset>2511425</wp:posOffset>
                </wp:positionH>
                <wp:positionV relativeFrom="paragraph">
                  <wp:posOffset>1143000</wp:posOffset>
                </wp:positionV>
                <wp:extent cx="3172460" cy="2114550"/>
                <wp:effectExtent l="0" t="0" r="8890" b="0"/>
                <wp:wrapSquare wrapText="bothSides"/>
                <wp:docPr id="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2460" cy="2114550"/>
                        </a:xfrm>
                        <a:prstGeom prst="rect">
                          <a:avLst/>
                        </a:prstGeom>
                        <a:solidFill>
                          <a:srgbClr val="FFFFFF"/>
                        </a:solidFill>
                        <a:ln w="9525">
                          <a:noFill/>
                          <a:miter lim="800000"/>
                          <a:headEnd/>
                          <a:tailEnd/>
                        </a:ln>
                      </wps:spPr>
                      <wps:txbx>
                        <w:txbxContent>
                          <w:p w14:paraId="478FFC37" w14:textId="29AC56E6" w:rsidR="00B90508" w:rsidRDefault="00B90508" w:rsidP="00B60FDB">
                            <w:pPr>
                              <w:jc w:val="center"/>
                            </w:pPr>
                            <w:r w:rsidRPr="00B60FDB">
                              <w:rPr>
                                <w:noProof/>
                              </w:rPr>
                              <w:drawing>
                                <wp:inline distT="0" distB="0" distL="0" distR="0" wp14:anchorId="4B232700" wp14:editId="1D162344">
                                  <wp:extent cx="2597785" cy="1947672"/>
                                  <wp:effectExtent l="0" t="0" r="0" b="0"/>
                                  <wp:docPr id="17" name="Picture 17" descr="S:\Projects\1134_Thurston County ILO 2014-2015\Project Files\Website\August 2013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rojects\1134_Thurston County ILO 2014-2015\Project Files\Website\August 2013 03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597785" cy="194767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0BD7AA6" id="_x0000_t202" coordsize="21600,21600" o:spt="202" path="m,l,21600r21600,l21600,xe">
                <v:stroke joinstyle="miter"/>
                <v:path gradientshapeok="t" o:connecttype="rect"/>
              </v:shapetype>
              <v:shape id="Text Box 2" o:spid="_x0000_s1026" type="#_x0000_t202" style="position:absolute;left:0;text-align:left;margin-left:197.75pt;margin-top:90pt;width:249.8pt;height:166.5pt;z-index:251661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bxPsHwIAABwEAAAOAAAAZHJzL2Uyb0RvYy54bWysU9tuGyEQfa/Uf0C813up7SQrr6PUqatK&#10;6UVK+gEsy3pRgaGAvet+fQfWcaz0rSoPiGGGw8yZM6vbUStyEM5LMDUtZjklwnBopdnV9MfT9t01&#10;JT4w0zIFRtT0KDy9Xb99sxpsJUroQbXCEQQxvhpsTfsQbJVlnvdCMz8DKww6O3CaBTTdLmsdGxBd&#10;q6zM82U2gGutAy68x9v7yUnXCb/rBA/fus6LQFRNMbeQdpf2Ju7ZesWqnWO2l/yUBvuHLDSTBj89&#10;Q92zwMjeyb+gtOQOPHRhxkFn0HWSi1QDVlPkr6p57JkVqRYkx9szTf7/wfKvh++OyLamS0oM09ii&#10;JzEG8gFGUkZ2BusrDHq0GBZGvMYup0q9fQD+0xMDm56ZnbhzDoZesBazK+LL7OLphOMjSDN8gRa/&#10;YfsACWjsnI7UIRkE0bFLx3NnYiocL98XV+V8iS6OvrIo5otF6l3Gqufn1vnwSYAm8VBTh61P8Ozw&#10;4ENMh1XPIfE3D0q2W6lUMtyu2ShHDgxlsk0rVfAqTBky1PRmUS4SsoH4PilIy4AyVlLX9DqPaxJW&#10;pOOjaVNIYFJNZ8xEmRM/kZKJnDA2IwZG0hpoj8iUg0muOF546MH9pmRAqdbU/9ozJyhRnw2yfVPM&#10;51HbyZgvrko03KWnufQwwxGqpoGS6bgJaR4iDwbusCudTHy9ZHLKFSWYaDyNS9T4pZ2iXoZ6/QcA&#10;AP//AwBQSwMEFAAGAAgAAAAhADnTKX/fAAAACwEAAA8AAABkcnMvZG93bnJldi54bWxMj0FOwzAQ&#10;RfdI3MGaSmwQtUNxm4Q4FSCB2Lb0AE7sJlHjcRS7TXp7hhVdjv7Tn/eL7ex6drFj6DwqSJYCmMXa&#10;mw4bBYefz6cUWIgaje49WgVXG2Bb3t8VOjd+wp297GPDqARDrhW0MQ4556FurdNh6QeLlB396HSk&#10;c2y4GfVE5a7nz0KsudMd0odWD/ajtfVpf3YKjt/To8ym6iseNruX9bvuNpW/KvWwmN9egUU7x38Y&#10;/vRJHUpyqvwZTWC9glUmJaEUpIJGEZFmMgFWKZDJSgAvC367ofwFAAD//wMAUEsBAi0AFAAGAAgA&#10;AAAhALaDOJL+AAAA4QEAABMAAAAAAAAAAAAAAAAAAAAAAFtDb250ZW50X1R5cGVzXS54bWxQSwEC&#10;LQAUAAYACAAAACEAOP0h/9YAAACUAQAACwAAAAAAAAAAAAAAAAAvAQAAX3JlbHMvLnJlbHNQSwEC&#10;LQAUAAYACAAAACEAuW8T7B8CAAAcBAAADgAAAAAAAAAAAAAAAAAuAgAAZHJzL2Uyb0RvYy54bWxQ&#10;SwECLQAUAAYACAAAACEAOdMpf98AAAALAQAADwAAAAAAAAAAAAAAAAB5BAAAZHJzL2Rvd25yZXYu&#10;eG1sUEsFBgAAAAAEAAQA8wAAAIUFAAAAAA==&#10;" stroked="f">
                <v:textbox>
                  <w:txbxContent>
                    <w:p w14:paraId="478FFC37" w14:textId="29AC56E6" w:rsidR="00B90508" w:rsidRDefault="00B90508" w:rsidP="00B60FDB">
                      <w:pPr>
                        <w:jc w:val="center"/>
                      </w:pPr>
                      <w:r w:rsidRPr="00B60FDB">
                        <w:rPr>
                          <w:noProof/>
                        </w:rPr>
                        <w:drawing>
                          <wp:inline distT="0" distB="0" distL="0" distR="0" wp14:anchorId="4B232700" wp14:editId="1D162344">
                            <wp:extent cx="2597785" cy="1947672"/>
                            <wp:effectExtent l="0" t="0" r="0" b="0"/>
                            <wp:docPr id="17" name="Picture 17" descr="S:\Projects\1134_Thurston County ILO 2014-2015\Project Files\Website\August 2013 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Projects\1134_Thurston County ILO 2014-2015\Project Files\Website\August 2013 03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597785" cy="1947672"/>
                                    </a:xfrm>
                                    <a:prstGeom prst="rect">
                                      <a:avLst/>
                                    </a:prstGeom>
                                    <a:noFill/>
                                    <a:ln>
                                      <a:noFill/>
                                    </a:ln>
                                  </pic:spPr>
                                </pic:pic>
                              </a:graphicData>
                            </a:graphic>
                          </wp:inline>
                        </w:drawing>
                      </w:r>
                    </w:p>
                  </w:txbxContent>
                </v:textbox>
                <w10:wrap type="square"/>
              </v:shape>
            </w:pict>
          </mc:Fallback>
        </mc:AlternateContent>
      </w:r>
      <w:r w:rsidRPr="00B60FDB">
        <w:rPr>
          <w:rFonts w:ascii="Arial" w:eastAsia="Times New Roman" w:hAnsi="Arial" w:cs="Arial"/>
          <w:i/>
          <w:iCs/>
          <w:noProof/>
          <w:color w:val="000000"/>
          <w:sz w:val="20"/>
          <w:szCs w:val="20"/>
        </w:rPr>
        <mc:AlternateContent>
          <mc:Choice Requires="wps">
            <w:drawing>
              <wp:anchor distT="45720" distB="45720" distL="114300" distR="114300" simplePos="0" relativeHeight="251663360" behindDoc="0" locked="0" layoutInCell="1" allowOverlap="1" wp14:anchorId="64DC73EF" wp14:editId="0AF1ECB5">
                <wp:simplePos x="0" y="0"/>
                <wp:positionH relativeFrom="column">
                  <wp:posOffset>5581650</wp:posOffset>
                </wp:positionH>
                <wp:positionV relativeFrom="paragraph">
                  <wp:posOffset>1143000</wp:posOffset>
                </wp:positionV>
                <wp:extent cx="3172460" cy="2114550"/>
                <wp:effectExtent l="0" t="0" r="8890" b="0"/>
                <wp:wrapSquare wrapText="bothSides"/>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72460" cy="2114550"/>
                        </a:xfrm>
                        <a:prstGeom prst="rect">
                          <a:avLst/>
                        </a:prstGeom>
                        <a:solidFill>
                          <a:srgbClr val="FFFFFF"/>
                        </a:solidFill>
                        <a:ln w="9525">
                          <a:noFill/>
                          <a:miter lim="800000"/>
                          <a:headEnd/>
                          <a:tailEnd/>
                        </a:ln>
                      </wps:spPr>
                      <wps:txbx>
                        <w:txbxContent>
                          <w:p w14:paraId="5E3C902E" w14:textId="3A6DF8F6" w:rsidR="00B90508" w:rsidRDefault="00B90508" w:rsidP="00B60FDB">
                            <w:r w:rsidRPr="00B60FDB">
                              <w:rPr>
                                <w:noProof/>
                              </w:rPr>
                              <w:drawing>
                                <wp:inline distT="0" distB="0" distL="0" distR="0" wp14:anchorId="594AFD8E" wp14:editId="1D4E452F">
                                  <wp:extent cx="2597484" cy="1947672"/>
                                  <wp:effectExtent l="0" t="0" r="0" b="0"/>
                                  <wp:docPr id="18" name="Picture 18" descr="C:\Users\andy\Desktop\DSCN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y\Desktop\DSCN0485.jp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97484" cy="1947672"/>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DC73EF" id="_x0000_s1027" type="#_x0000_t202" style="position:absolute;left:0;text-align:left;margin-left:439.5pt;margin-top:90pt;width:249.8pt;height:166.5pt;z-index:25166336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16tQIQIAACMEAAAOAAAAZHJzL2Uyb0RvYy54bWysU9uO2yAQfa/Uf0C8N47dZC9WnNU221SV&#10;thdptx+AAceowFAgsbdf3wFns9H2rSoPiGGGw8yZM6ub0WhykD4osA0tZ3NKpOUglN019Mfj9t0V&#10;JSEyK5gGKxv6JAO9Wb99sxpcLSvoQQvpCYLYUA+uoX2Mri6KwHtpWJiBkxadHXjDIpp+VwjPBkQ3&#10;uqjm84tiAC+cBy5DwNu7yUnXGb/rJI/fui7ISHRDMbeYd5/3Nu3FesXqnWeuV/yYBvuHLAxTFj89&#10;Qd2xyMjeq7+gjOIeAnRxxsEU0HWKy1wDVlPOX1Xz0DMncy1ITnAnmsL/g+VfD989UaKh15RYZrBF&#10;j3KM5AOMpErsDC7UGPTgMCyOeI1dzpUGdw/8ZyAWNj2zO3nrPQy9ZAKzK9PL4uzphBMSSDt8AYHf&#10;sH2EDDR23iTqkAyC6Nilp1NnUiocL9+Xl9XiAl0cfVVZLpbL3LuC1c/PnQ/xkwRD0qGhHluf4dnh&#10;PsSUDqufQ9JvAbQSW6V1Nvyu3WhPDgxlss0rV/AqTFsyIFHLapmRLaT3WUFGRZSxVqahV/O0JmEl&#10;Oj5akUMiU3o6YybaHvlJlEzkxLEdcyMyeYm7FsQTEuZhUi1OGR568L8pGVCxDQ2/9sxLSvRni6Rf&#10;l4tFkng2FsvLCg1/7mnPPcxyhGpopGQ6bmIei0SHhVtsTqcybS+ZHFNGJWY2j1OTpH5u56iX2V7/&#10;AQAA//8DAFBLAwQUAAYACAAAACEAk/CVKOAAAAAMAQAADwAAAGRycy9kb3ducmV2LnhtbEyPwU7D&#10;MBBE70j8g7VIXBC1S2mShjgVIIG4tvQDNvE2iYjXUew26d/jnuC2oxnNvim2s+3FmUbfOdawXCgQ&#10;xLUzHTcaDt8fjxkIH5AN9o5Jw4U8bMvbmwJz4ybe0XkfGhFL2OeooQ1hyKX0dUsW/cINxNE7utFi&#10;iHJspBlxiuW2l09KJdJix/FDiwO9t1T/7E9Ww/FrelhvpuozHNLdc/KGXVq5i9b3d/PrC4hAc/gL&#10;wxU/okMZmSp3YuNFryFLN3FLiEam4nFNrNIsAVFpWC9XCmRZyP8jyl8AAAD//wMAUEsBAi0AFAAG&#10;AAgAAAAhALaDOJL+AAAA4QEAABMAAAAAAAAAAAAAAAAAAAAAAFtDb250ZW50X1R5cGVzXS54bWxQ&#10;SwECLQAUAAYACAAAACEAOP0h/9YAAACUAQAACwAAAAAAAAAAAAAAAAAvAQAAX3JlbHMvLnJlbHNQ&#10;SwECLQAUAAYACAAAACEAZterUCECAAAjBAAADgAAAAAAAAAAAAAAAAAuAgAAZHJzL2Uyb0RvYy54&#10;bWxQSwECLQAUAAYACAAAACEAk/CVKOAAAAAMAQAADwAAAAAAAAAAAAAAAAB7BAAAZHJzL2Rvd25y&#10;ZXYueG1sUEsFBgAAAAAEAAQA8wAAAIgFAAAAAA==&#10;" stroked="f">
                <v:textbox>
                  <w:txbxContent>
                    <w:p w14:paraId="5E3C902E" w14:textId="3A6DF8F6" w:rsidR="00B90508" w:rsidRDefault="00B90508" w:rsidP="00B60FDB">
                      <w:r w:rsidRPr="00B60FDB">
                        <w:rPr>
                          <w:noProof/>
                        </w:rPr>
                        <w:drawing>
                          <wp:inline distT="0" distB="0" distL="0" distR="0" wp14:anchorId="594AFD8E" wp14:editId="1D4E452F">
                            <wp:extent cx="2597484" cy="1947672"/>
                            <wp:effectExtent l="0" t="0" r="0" b="0"/>
                            <wp:docPr id="18" name="Picture 18" descr="C:\Users\andy\Desktop\DSCN04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ndy\Desktop\DSCN0485.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597484" cy="1947672"/>
                                    </a:xfrm>
                                    <a:prstGeom prst="rect">
                                      <a:avLst/>
                                    </a:prstGeom>
                                    <a:noFill/>
                                    <a:ln>
                                      <a:noFill/>
                                    </a:ln>
                                  </pic:spPr>
                                </pic:pic>
                              </a:graphicData>
                            </a:graphic>
                          </wp:inline>
                        </w:drawing>
                      </w:r>
                    </w:p>
                  </w:txbxContent>
                </v:textbox>
                <w10:wrap type="square"/>
              </v:shape>
            </w:pict>
          </mc:Fallback>
        </mc:AlternateContent>
      </w:r>
      <w:r w:rsidRPr="00B60FDB">
        <w:rPr>
          <w:rFonts w:ascii="Arial" w:eastAsia="Times New Roman" w:hAnsi="Arial" w:cs="Arial"/>
          <w:i/>
          <w:iCs/>
          <w:noProof/>
          <w:color w:val="000000"/>
          <w:sz w:val="20"/>
          <w:szCs w:val="20"/>
        </w:rPr>
        <mc:AlternateContent>
          <mc:Choice Requires="wps">
            <w:drawing>
              <wp:anchor distT="45720" distB="45720" distL="114300" distR="114300" simplePos="0" relativeHeight="251659264" behindDoc="0" locked="0" layoutInCell="1" allowOverlap="1" wp14:anchorId="4A12617A" wp14:editId="2B6714A9">
                <wp:simplePos x="0" y="0"/>
                <wp:positionH relativeFrom="margin">
                  <wp:posOffset>-114300</wp:posOffset>
                </wp:positionH>
                <wp:positionV relativeFrom="paragraph">
                  <wp:posOffset>1152525</wp:posOffset>
                </wp:positionV>
                <wp:extent cx="3048000" cy="2105025"/>
                <wp:effectExtent l="0" t="0" r="0" b="952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0" cy="2105025"/>
                        </a:xfrm>
                        <a:prstGeom prst="rect">
                          <a:avLst/>
                        </a:prstGeom>
                        <a:solidFill>
                          <a:srgbClr val="FFFFFF"/>
                        </a:solidFill>
                        <a:ln w="9525">
                          <a:noFill/>
                          <a:miter lim="800000"/>
                          <a:headEnd/>
                          <a:tailEnd/>
                        </a:ln>
                      </wps:spPr>
                      <wps:txbx>
                        <w:txbxContent>
                          <w:p w14:paraId="03B64812" w14:textId="784282A5" w:rsidR="00B90508" w:rsidRDefault="00B90508" w:rsidP="00B60FDB">
                            <w:pPr>
                              <w:jc w:val="center"/>
                            </w:pPr>
                            <w:r w:rsidRPr="00B60FDB">
                              <w:rPr>
                                <w:rFonts w:ascii="Arial" w:eastAsia="Times New Roman" w:hAnsi="Arial" w:cs="Arial"/>
                                <w:i/>
                                <w:iCs/>
                                <w:noProof/>
                                <w:color w:val="000000"/>
                                <w:sz w:val="20"/>
                                <w:szCs w:val="20"/>
                              </w:rPr>
                              <w:drawing>
                                <wp:inline distT="0" distB="0" distL="0" distR="0" wp14:anchorId="74F3FD4F" wp14:editId="04875186">
                                  <wp:extent cx="2762250" cy="1942819"/>
                                  <wp:effectExtent l="0" t="0" r="0" b="635"/>
                                  <wp:docPr id="11" name="Picture 11" descr="S:\Projects\1134_Thurston County ILO 2014-2015\Project Files\Website\refuge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rojects\1134_Thurston County ILO 2014-2015\Project Files\Website\refuge3 copy.jpg"/>
                                          <pic:cNvPicPr>
                                            <a:picLocks noChangeAspect="1" noChangeArrowheads="1"/>
                                          </pic:cNvPicPr>
                                        </pic:nvPicPr>
                                        <pic:blipFill rotWithShape="1">
                                          <a:blip r:embed="rId12">
                                            <a:extLst>
                                              <a:ext uri="{28A0092B-C50C-407E-A947-70E740481C1C}">
                                                <a14:useLocalDpi xmlns:a14="http://schemas.microsoft.com/office/drawing/2010/main" val="0"/>
                                              </a:ext>
                                            </a:extLst>
                                          </a:blip>
                                          <a:srcRect r="8285"/>
                                          <a:stretch/>
                                        </pic:blipFill>
                                        <pic:spPr bwMode="auto">
                                          <a:xfrm>
                                            <a:off x="0" y="0"/>
                                            <a:ext cx="2763447" cy="1943661"/>
                                          </a:xfrm>
                                          <a:prstGeom prst="rect">
                                            <a:avLst/>
                                          </a:prstGeom>
                                          <a:noFill/>
                                          <a:ln>
                                            <a:noFill/>
                                          </a:ln>
                                          <a:extLst>
                                            <a:ext uri="{53640926-AAD7-44D8-BBD7-CCE9431645EC}">
                                              <a14:shadowObscured xmlns:a14="http://schemas.microsoft.com/office/drawing/2010/main"/>
                                            </a:ext>
                                          </a:extLst>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12617A" id="_x0000_s1028" type="#_x0000_t202" style="position:absolute;left:0;text-align:left;margin-left:-9pt;margin-top:90.75pt;width:240pt;height:165.75pt;z-index:2516592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9qLIgIAACUEAAAOAAAAZHJzL2Uyb0RvYy54bWysU9tu2zAMfR+wfxD0vviyZG2NOEWXLsOA&#10;7gK0+wBZlmNhkqhJSuzs60vJaZp2b8P8YIgieXh4SC2vR63IXjgvwdS0mOWUCMOhlWZb058Pm3eX&#10;lPjATMsUGFHTg/D0evX2zXKwlSihB9UKRxDE+GqwNe1DsFWWed4LzfwMrDDo7MBpFtB026x1bEB0&#10;rbIyzz9kA7jWOuDCe7y9nZx0lfC7TvDwveu8CETVFLmF9Hfp38R/tlqyauuY7SU/0mD/wEIzabDo&#10;CeqWBUZ2Tv4FpSV34KELMw46g66TXKQesJsif9XNfc+sSL2gON6eZPL/D5Z/2/9wRLY1LYsLSgzT&#10;OKQHMQbyEUZSRn0G6ysMu7cYGEa8xjmnXr29A/7LEwPrnpmtuHEOhl6wFvkVMTM7S51wfARphq/Q&#10;Yhm2C5CAxs7pKB7KQRAd53Q4zSZS4Xj5Pp9f5jm6OPrKIl/k5SLVYNVTunU+fBagSTzU1OHwEzzb&#10;3/kQ6bDqKSRW86Bku5FKJcNtm7VyZM9wUTbpO6K/CFOGDDW9WmDtmGUg5qcd0jLgIiupaxp5ItN0&#10;HeX4ZNp0Dkyq6YxMlDnqEyWZxAljM06jiLlRuwbaAwrmYNpbfGd46MH9oWTAna2p/71jTlCivhgU&#10;/aqYz+OSJ2O+uCjRcOee5tzDDEeomgZKpuM6pIcxNXaDw+lkku2ZyZEy7mJS8/hu4rKf2ynq+XWv&#10;HgEAAP//AwBQSwMEFAAGAAgAAAAhAIBy6QXgAAAACwEAAA8AAABkcnMvZG93bnJldi54bWxMj8FO&#10;wzAQRO9I/IO1SFxQ66Q0aUjjVIAE4trSD9jEbhI1Xkex26R/z3KC486MZt8Uu9n24mpG3zlSEC8j&#10;EIZqpztqFBy/PxYZCB+QNPaOjIKb8bAr7+8KzLWbaG+uh9AILiGfo4I2hCGX0tetseiXbjDE3smN&#10;FgOfYyP1iBOX216uoiiVFjviDy0O5r019flwsQpOX9NT8jJVn+G42a/TN+w2lbsp9fgwv25BBDOH&#10;vzD84jM6lMxUuQtpL3oFizjjLYGNLE5AcGKdrlipFCTxcwSyLOT/DeUPAAAA//8DAFBLAQItABQA&#10;BgAIAAAAIQC2gziS/gAAAOEBAAATAAAAAAAAAAAAAAAAAAAAAABbQ29udGVudF9UeXBlc10ueG1s&#10;UEsBAi0AFAAGAAgAAAAhADj9If/WAAAAlAEAAAsAAAAAAAAAAAAAAAAALwEAAF9yZWxzLy5yZWxz&#10;UEsBAi0AFAAGAAgAAAAhAMvz2osiAgAAJQQAAA4AAAAAAAAAAAAAAAAALgIAAGRycy9lMm9Eb2Mu&#10;eG1sUEsBAi0AFAAGAAgAAAAhAIBy6QXgAAAACwEAAA8AAAAAAAAAAAAAAAAAfAQAAGRycy9kb3du&#10;cmV2LnhtbFBLBQYAAAAABAAEAPMAAACJBQAAAAA=&#10;" stroked="f">
                <v:textbox>
                  <w:txbxContent>
                    <w:p w14:paraId="03B64812" w14:textId="784282A5" w:rsidR="00B90508" w:rsidRDefault="00B90508" w:rsidP="00B60FDB">
                      <w:pPr>
                        <w:jc w:val="center"/>
                      </w:pPr>
                      <w:r w:rsidRPr="00B60FDB">
                        <w:rPr>
                          <w:rFonts w:ascii="Arial" w:eastAsia="Times New Roman" w:hAnsi="Arial" w:cs="Arial"/>
                          <w:i/>
                          <w:iCs/>
                          <w:noProof/>
                          <w:color w:val="000000"/>
                          <w:sz w:val="20"/>
                          <w:szCs w:val="20"/>
                        </w:rPr>
                        <w:drawing>
                          <wp:inline distT="0" distB="0" distL="0" distR="0" wp14:anchorId="74F3FD4F" wp14:editId="04875186">
                            <wp:extent cx="2762250" cy="1942819"/>
                            <wp:effectExtent l="0" t="0" r="0" b="635"/>
                            <wp:docPr id="11" name="Picture 11" descr="S:\Projects\1134_Thurston County ILO 2014-2015\Project Files\Website\refuge3 cop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rojects\1134_Thurston County ILO 2014-2015\Project Files\Website\refuge3 copy.jpg"/>
                                    <pic:cNvPicPr>
                                      <a:picLocks noChangeAspect="1" noChangeArrowheads="1"/>
                                    </pic:cNvPicPr>
                                  </pic:nvPicPr>
                                  <pic:blipFill rotWithShape="1">
                                    <a:blip r:embed="rId13">
                                      <a:extLst>
                                        <a:ext uri="{28A0092B-C50C-407E-A947-70E740481C1C}">
                                          <a14:useLocalDpi xmlns:a14="http://schemas.microsoft.com/office/drawing/2010/main" val="0"/>
                                        </a:ext>
                                      </a:extLst>
                                    </a:blip>
                                    <a:srcRect r="8285"/>
                                    <a:stretch/>
                                  </pic:blipFill>
                                  <pic:spPr bwMode="auto">
                                    <a:xfrm>
                                      <a:off x="0" y="0"/>
                                      <a:ext cx="2763447" cy="1943661"/>
                                    </a:xfrm>
                                    <a:prstGeom prst="rect">
                                      <a:avLst/>
                                    </a:prstGeom>
                                    <a:noFill/>
                                    <a:ln>
                                      <a:noFill/>
                                    </a:ln>
                                    <a:extLst>
                                      <a:ext uri="{53640926-AAD7-44D8-BBD7-CCE9431645EC}">
                                        <a14:shadowObscured xmlns:a14="http://schemas.microsoft.com/office/drawing/2010/main"/>
                                      </a:ext>
                                    </a:extLst>
                                  </pic:spPr>
                                </pic:pic>
                              </a:graphicData>
                            </a:graphic>
                          </wp:inline>
                        </w:drawing>
                      </w:r>
                    </w:p>
                  </w:txbxContent>
                </v:textbox>
                <w10:wrap type="square" anchorx="margin"/>
              </v:shape>
            </w:pict>
          </mc:Fallback>
        </mc:AlternateContent>
      </w:r>
      <w:r w:rsidR="00CE1C4F">
        <w:rPr>
          <w:rFonts w:ascii="Trebuchet MS" w:eastAsia="Times New Roman" w:hAnsi="Trebuchet MS" w:cs="Times New Roman"/>
          <w:caps/>
          <w:color w:val="003A5D"/>
          <w:sz w:val="32"/>
          <w:szCs w:val="32"/>
        </w:rPr>
        <w:t>alliance for healthy</w:t>
      </w:r>
      <w:r w:rsidR="00B968DB" w:rsidRPr="00B968DB">
        <w:rPr>
          <w:rFonts w:ascii="Trebuchet MS" w:eastAsia="Times New Roman" w:hAnsi="Trebuchet MS" w:cs="Times New Roman"/>
          <w:caps/>
          <w:color w:val="003A5D"/>
          <w:sz w:val="32"/>
          <w:szCs w:val="32"/>
        </w:rPr>
        <w:t xml:space="preserve"> SOUTH SOUND</w:t>
      </w:r>
      <w:r w:rsidR="00B968DB" w:rsidRPr="00B968DB">
        <w:rPr>
          <w:rFonts w:ascii="Trebuchet MS" w:eastAsia="Times New Roman" w:hAnsi="Trebuchet MS" w:cs="Times New Roman"/>
          <w:caps/>
          <w:color w:val="003A5D"/>
          <w:sz w:val="32"/>
          <w:szCs w:val="32"/>
        </w:rPr>
        <w:br/>
        <w:t>ECOSYSTEM RECOVERY PLAN</w:t>
      </w:r>
    </w:p>
    <w:p w14:paraId="477A5CE7" w14:textId="062B4E27" w:rsidR="00B968DB" w:rsidRDefault="00B968DB" w:rsidP="00B968DB">
      <w:pPr>
        <w:spacing w:after="0" w:line="240" w:lineRule="auto"/>
        <w:jc w:val="center"/>
        <w:rPr>
          <w:rFonts w:ascii="Arial" w:eastAsia="Times New Roman" w:hAnsi="Arial" w:cs="Arial"/>
          <w:i/>
          <w:iCs/>
          <w:color w:val="000000"/>
          <w:sz w:val="20"/>
          <w:szCs w:val="20"/>
        </w:rPr>
      </w:pPr>
    </w:p>
    <w:p w14:paraId="4661EA56" w14:textId="69F39FFD" w:rsidR="006E6778" w:rsidRDefault="006E6778" w:rsidP="00B968DB">
      <w:pPr>
        <w:spacing w:after="0" w:line="240" w:lineRule="auto"/>
        <w:jc w:val="center"/>
        <w:rPr>
          <w:rFonts w:ascii="Arial" w:eastAsia="Times New Roman" w:hAnsi="Arial" w:cs="Arial"/>
          <w:i/>
          <w:iCs/>
          <w:color w:val="000000"/>
          <w:sz w:val="20"/>
          <w:szCs w:val="20"/>
        </w:rPr>
      </w:pPr>
    </w:p>
    <w:p w14:paraId="424DA612" w14:textId="3A5BEC66" w:rsidR="006E6778" w:rsidRDefault="006E6778" w:rsidP="00B968DB">
      <w:pPr>
        <w:spacing w:after="0" w:line="240" w:lineRule="auto"/>
        <w:jc w:val="center"/>
        <w:rPr>
          <w:rFonts w:ascii="Arial" w:eastAsia="Times New Roman" w:hAnsi="Arial" w:cs="Arial"/>
          <w:i/>
          <w:iCs/>
          <w:color w:val="000000"/>
          <w:sz w:val="20"/>
          <w:szCs w:val="20"/>
        </w:rPr>
      </w:pPr>
    </w:p>
    <w:p w14:paraId="7388E7E2" w14:textId="519C927A" w:rsidR="006E6778" w:rsidRDefault="006E6778" w:rsidP="00B968DB">
      <w:pPr>
        <w:spacing w:after="0" w:line="240" w:lineRule="auto"/>
        <w:jc w:val="center"/>
        <w:rPr>
          <w:rFonts w:ascii="Arial" w:eastAsia="Times New Roman" w:hAnsi="Arial" w:cs="Arial"/>
          <w:i/>
          <w:iCs/>
          <w:color w:val="000000"/>
          <w:sz w:val="20"/>
          <w:szCs w:val="20"/>
        </w:rPr>
      </w:pPr>
    </w:p>
    <w:p w14:paraId="7EAC38D2" w14:textId="589958E4" w:rsidR="006E6778" w:rsidRDefault="006E6778" w:rsidP="00B968DB">
      <w:pPr>
        <w:spacing w:after="0" w:line="240" w:lineRule="auto"/>
        <w:jc w:val="center"/>
        <w:rPr>
          <w:rFonts w:ascii="Arial" w:eastAsia="Times New Roman" w:hAnsi="Arial" w:cs="Arial"/>
          <w:i/>
          <w:iCs/>
          <w:color w:val="000000"/>
          <w:sz w:val="20"/>
          <w:szCs w:val="20"/>
        </w:rPr>
      </w:pPr>
    </w:p>
    <w:p w14:paraId="0DF3FBEC" w14:textId="10FFCEF7" w:rsidR="006E6778" w:rsidRDefault="006E6778" w:rsidP="00B968DB">
      <w:pPr>
        <w:spacing w:after="0" w:line="240" w:lineRule="auto"/>
        <w:jc w:val="center"/>
        <w:rPr>
          <w:rFonts w:ascii="Arial" w:eastAsia="Times New Roman" w:hAnsi="Arial" w:cs="Arial"/>
          <w:i/>
          <w:iCs/>
          <w:color w:val="000000"/>
          <w:sz w:val="20"/>
          <w:szCs w:val="20"/>
        </w:rPr>
      </w:pPr>
    </w:p>
    <w:p w14:paraId="40B39F7D" w14:textId="38DD7F94" w:rsidR="006E6778" w:rsidRDefault="006E6778" w:rsidP="00B968DB">
      <w:pPr>
        <w:spacing w:after="0" w:line="240" w:lineRule="auto"/>
        <w:jc w:val="center"/>
        <w:rPr>
          <w:rFonts w:ascii="Arial" w:eastAsia="Times New Roman" w:hAnsi="Arial" w:cs="Arial"/>
          <w:i/>
          <w:iCs/>
          <w:color w:val="000000"/>
          <w:sz w:val="20"/>
          <w:szCs w:val="20"/>
        </w:rPr>
      </w:pPr>
    </w:p>
    <w:p w14:paraId="247430AD" w14:textId="3AA1890D" w:rsidR="006E6778" w:rsidRDefault="006E6778" w:rsidP="00B968DB">
      <w:pPr>
        <w:spacing w:after="0" w:line="240" w:lineRule="auto"/>
        <w:jc w:val="center"/>
        <w:rPr>
          <w:rFonts w:ascii="Arial" w:eastAsia="Times New Roman" w:hAnsi="Arial" w:cs="Arial"/>
          <w:i/>
          <w:iCs/>
          <w:color w:val="000000"/>
          <w:sz w:val="20"/>
          <w:szCs w:val="20"/>
        </w:rPr>
      </w:pPr>
    </w:p>
    <w:p w14:paraId="62139934" w14:textId="24E945CC" w:rsidR="006E6778" w:rsidRDefault="006E6778" w:rsidP="00B968DB">
      <w:pPr>
        <w:spacing w:after="0" w:line="240" w:lineRule="auto"/>
        <w:jc w:val="center"/>
        <w:rPr>
          <w:rFonts w:ascii="Arial" w:eastAsia="Times New Roman" w:hAnsi="Arial" w:cs="Arial"/>
          <w:i/>
          <w:iCs/>
          <w:color w:val="000000"/>
          <w:sz w:val="20"/>
          <w:szCs w:val="20"/>
        </w:rPr>
      </w:pPr>
    </w:p>
    <w:p w14:paraId="242757C9" w14:textId="145F8819" w:rsidR="006E6778" w:rsidRDefault="006E6778" w:rsidP="00B968DB">
      <w:pPr>
        <w:spacing w:after="0" w:line="240" w:lineRule="auto"/>
        <w:jc w:val="center"/>
        <w:rPr>
          <w:rFonts w:ascii="Arial" w:eastAsia="Times New Roman" w:hAnsi="Arial" w:cs="Arial"/>
          <w:i/>
          <w:iCs/>
          <w:color w:val="000000"/>
          <w:sz w:val="20"/>
          <w:szCs w:val="20"/>
        </w:rPr>
      </w:pPr>
    </w:p>
    <w:p w14:paraId="2FF4E4E6" w14:textId="60FE1FC6" w:rsidR="006E6778" w:rsidRDefault="006E6778" w:rsidP="00B968DB">
      <w:pPr>
        <w:spacing w:after="0" w:line="240" w:lineRule="auto"/>
        <w:jc w:val="center"/>
        <w:rPr>
          <w:rFonts w:ascii="Arial" w:eastAsia="Times New Roman" w:hAnsi="Arial" w:cs="Arial"/>
          <w:i/>
          <w:iCs/>
          <w:color w:val="000000"/>
          <w:sz w:val="20"/>
          <w:szCs w:val="20"/>
        </w:rPr>
      </w:pPr>
    </w:p>
    <w:p w14:paraId="1015CF11" w14:textId="77777777" w:rsidR="006E6778" w:rsidRPr="00B968DB" w:rsidRDefault="006E6778" w:rsidP="00B968DB">
      <w:pPr>
        <w:spacing w:after="0" w:line="240" w:lineRule="auto"/>
        <w:jc w:val="center"/>
        <w:rPr>
          <w:rFonts w:ascii="Arial" w:eastAsia="Times New Roman" w:hAnsi="Arial" w:cs="Arial"/>
          <w:i/>
          <w:iCs/>
          <w:color w:val="000000"/>
          <w:sz w:val="20"/>
          <w:szCs w:val="20"/>
        </w:rPr>
      </w:pPr>
    </w:p>
    <w:p w14:paraId="3C4AF43E" w14:textId="37083B24" w:rsidR="00B968DB" w:rsidRPr="00B968DB" w:rsidRDefault="00B968DB" w:rsidP="00B968DB">
      <w:pPr>
        <w:spacing w:after="0" w:line="360" w:lineRule="atLeast"/>
        <w:jc w:val="right"/>
        <w:rPr>
          <w:rFonts w:ascii="Trebuchet MS" w:eastAsia="Times New Roman" w:hAnsi="Trebuchet MS" w:cs="Times New Roman"/>
          <w:caps/>
          <w:color w:val="003A5D"/>
          <w:sz w:val="28"/>
          <w:szCs w:val="28"/>
        </w:rPr>
      </w:pPr>
      <w:r w:rsidRPr="00B968DB">
        <w:rPr>
          <w:rFonts w:ascii="Trebuchet MS" w:eastAsia="Times New Roman" w:hAnsi="Trebuchet MS" w:cs="Times New Roman"/>
          <w:caps/>
          <w:color w:val="003A5D"/>
          <w:sz w:val="28"/>
          <w:szCs w:val="28"/>
        </w:rPr>
        <w:t>DRAFT EFFECTIVE DATE:</w:t>
      </w:r>
      <w:r w:rsidR="00CE1C4F">
        <w:rPr>
          <w:rFonts w:ascii="Trebuchet MS" w:eastAsia="Times New Roman" w:hAnsi="Trebuchet MS" w:cs="Times New Roman"/>
          <w:caps/>
          <w:color w:val="003A5D"/>
          <w:sz w:val="28"/>
          <w:szCs w:val="28"/>
        </w:rPr>
        <w:t xml:space="preserve"> September 30, 2016</w:t>
      </w:r>
    </w:p>
    <w:p w14:paraId="2288BEB3" w14:textId="77777777" w:rsidR="00B968DB" w:rsidRPr="00B968DB" w:rsidRDefault="00B968DB" w:rsidP="00B968DB">
      <w:pPr>
        <w:spacing w:after="0" w:line="240" w:lineRule="auto"/>
        <w:rPr>
          <w:rFonts w:ascii="Times New Roman" w:eastAsia="Times New Roman" w:hAnsi="Times New Roman" w:cs="Times New Roman"/>
          <w:sz w:val="24"/>
          <w:szCs w:val="24"/>
        </w:rPr>
      </w:pPr>
    </w:p>
    <w:p w14:paraId="73089A23" w14:textId="48A73CDD" w:rsidR="00B968DB" w:rsidRPr="00B968DB" w:rsidRDefault="00B968DB" w:rsidP="00B968DB">
      <w:pPr>
        <w:spacing w:after="0" w:line="240" w:lineRule="auto"/>
        <w:jc w:val="center"/>
        <w:rPr>
          <w:rFonts w:ascii="Arial" w:eastAsia="Times New Roman" w:hAnsi="Arial" w:cs="Arial"/>
          <w:i/>
          <w:iCs/>
          <w:color w:val="000000"/>
          <w:sz w:val="20"/>
          <w:szCs w:val="20"/>
        </w:rPr>
      </w:pPr>
    </w:p>
    <w:p w14:paraId="2C0E2B00" w14:textId="77777777" w:rsidR="00B968DB" w:rsidRPr="00B968DB" w:rsidRDefault="00B968DB" w:rsidP="00B968DB">
      <w:pPr>
        <w:spacing w:after="0" w:line="240" w:lineRule="auto"/>
        <w:rPr>
          <w:rFonts w:ascii="Times New Roman" w:eastAsia="Times New Roman" w:hAnsi="Times New Roman" w:cs="Times New Roman"/>
          <w:sz w:val="24"/>
          <w:szCs w:val="24"/>
        </w:rPr>
      </w:pPr>
    </w:p>
    <w:p w14:paraId="36946343" w14:textId="77777777" w:rsidR="00B968DB" w:rsidRPr="00B968DB" w:rsidRDefault="00B968DB" w:rsidP="00B968DB">
      <w:pPr>
        <w:spacing w:before="300" w:after="150" w:line="240" w:lineRule="auto"/>
        <w:outlineLvl w:val="1"/>
        <w:rPr>
          <w:rFonts w:ascii="Trebuchet MS" w:eastAsia="Times New Roman" w:hAnsi="Trebuchet MS" w:cs="Arial"/>
          <w:b/>
          <w:bCs/>
          <w:caps/>
          <w:color w:val="003A5D"/>
          <w:sz w:val="24"/>
          <w:szCs w:val="24"/>
        </w:rPr>
      </w:pPr>
      <w:bookmarkStart w:id="0" w:name="_Toc462918321"/>
      <w:r w:rsidRPr="00B968DB">
        <w:rPr>
          <w:rFonts w:ascii="Trebuchet MS" w:eastAsia="Times New Roman" w:hAnsi="Trebuchet MS" w:cs="Arial"/>
          <w:b/>
          <w:bCs/>
          <w:caps/>
          <w:color w:val="003A5D"/>
          <w:sz w:val="24"/>
          <w:szCs w:val="24"/>
        </w:rPr>
        <w:lastRenderedPageBreak/>
        <w:t>CREDIT AND ACKNOWLEDGEMENTS</w:t>
      </w:r>
      <w:bookmarkEnd w:id="0"/>
    </w:p>
    <w:p w14:paraId="19D0082D" w14:textId="77777777" w:rsidR="00B968DB" w:rsidRPr="00B968DB" w:rsidRDefault="00B968DB" w:rsidP="00B968DB">
      <w:pPr>
        <w:spacing w:after="150" w:line="240" w:lineRule="auto"/>
        <w:rPr>
          <w:rFonts w:ascii="Arial" w:eastAsia="Times New Roman" w:hAnsi="Arial" w:cs="Arial"/>
          <w:color w:val="003A5D"/>
          <w:sz w:val="20"/>
          <w:szCs w:val="20"/>
        </w:rPr>
      </w:pPr>
      <w:r w:rsidRPr="00B968DB">
        <w:rPr>
          <w:rFonts w:ascii="Arial" w:eastAsia="Times New Roman" w:hAnsi="Arial" w:cs="Arial"/>
          <w:color w:val="003A5D"/>
          <w:sz w:val="20"/>
          <w:szCs w:val="20"/>
        </w:rPr>
        <w:t>We acknowledge the following entities for their support and engagement in this project:</w:t>
      </w:r>
    </w:p>
    <w:p w14:paraId="0E278846" w14:textId="17DE3AF7" w:rsidR="00C57BB8" w:rsidRDefault="00C57BB8" w:rsidP="00C57BB8">
      <w:pPr>
        <w:pStyle w:val="ListParagraph"/>
        <w:numPr>
          <w:ilvl w:val="0"/>
          <w:numId w:val="2"/>
        </w:numPr>
        <w:spacing w:after="150" w:line="240" w:lineRule="auto"/>
        <w:rPr>
          <w:rFonts w:ascii="Arial" w:eastAsia="Times New Roman" w:hAnsi="Arial" w:cs="Arial"/>
          <w:color w:val="003A5D"/>
          <w:sz w:val="20"/>
          <w:szCs w:val="20"/>
        </w:rPr>
      </w:pPr>
      <w:r>
        <w:rPr>
          <w:rFonts w:ascii="Arial" w:eastAsia="Times New Roman" w:hAnsi="Arial" w:cs="Arial"/>
          <w:color w:val="003A5D"/>
          <w:sz w:val="20"/>
          <w:szCs w:val="20"/>
        </w:rPr>
        <w:t>Alliance for a Healthy South Sound Executive Committee</w:t>
      </w:r>
    </w:p>
    <w:p w14:paraId="4388C709" w14:textId="6DBC5910" w:rsidR="00C57BB8" w:rsidRDefault="00C57BB8" w:rsidP="00C57BB8">
      <w:pPr>
        <w:pStyle w:val="ListParagraph"/>
        <w:numPr>
          <w:ilvl w:val="0"/>
          <w:numId w:val="2"/>
        </w:numPr>
        <w:spacing w:after="150" w:line="240" w:lineRule="auto"/>
        <w:rPr>
          <w:rFonts w:ascii="Arial" w:eastAsia="Times New Roman" w:hAnsi="Arial" w:cs="Arial"/>
          <w:color w:val="003A5D"/>
          <w:sz w:val="20"/>
          <w:szCs w:val="20"/>
        </w:rPr>
      </w:pPr>
      <w:r>
        <w:rPr>
          <w:rFonts w:ascii="Arial" w:eastAsia="Times New Roman" w:hAnsi="Arial" w:cs="Arial"/>
          <w:color w:val="003A5D"/>
          <w:sz w:val="20"/>
          <w:szCs w:val="20"/>
        </w:rPr>
        <w:t>Alliance for a Healthy South Sound Council</w:t>
      </w:r>
    </w:p>
    <w:p w14:paraId="7E32AA25" w14:textId="3E95A6A9" w:rsidR="00C57BB8" w:rsidRPr="00823FF4" w:rsidRDefault="00C57BB8" w:rsidP="00C57BB8">
      <w:pPr>
        <w:pStyle w:val="ListParagraph"/>
        <w:numPr>
          <w:ilvl w:val="0"/>
          <w:numId w:val="2"/>
        </w:num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Alliance for a Healthy South Sound Technical Team</w:t>
      </w:r>
    </w:p>
    <w:p w14:paraId="78B64D0B" w14:textId="77777777" w:rsidR="00C57BB8" w:rsidRPr="00823FF4" w:rsidRDefault="00C57BB8" w:rsidP="00C57BB8">
      <w:pPr>
        <w:pStyle w:val="ListParagraph"/>
        <w:numPr>
          <w:ilvl w:val="0"/>
          <w:numId w:val="2"/>
        </w:num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Squaxin Island Tribe</w:t>
      </w:r>
    </w:p>
    <w:p w14:paraId="04B685BA" w14:textId="77777777" w:rsidR="00C57BB8" w:rsidRPr="00823FF4" w:rsidRDefault="00C57BB8" w:rsidP="00C57BB8">
      <w:pPr>
        <w:pStyle w:val="ListParagraph"/>
        <w:numPr>
          <w:ilvl w:val="0"/>
          <w:numId w:val="2"/>
        </w:num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Environmental Science Associates</w:t>
      </w:r>
    </w:p>
    <w:p w14:paraId="4A28A8F6" w14:textId="05733D27" w:rsidR="00B968DB" w:rsidRDefault="00C57BB8" w:rsidP="00823FF4">
      <w:pPr>
        <w:spacing w:after="0" w:line="240" w:lineRule="auto"/>
        <w:rPr>
          <w:rFonts w:ascii="Arial" w:eastAsia="Times New Roman" w:hAnsi="Arial" w:cs="Arial"/>
          <w:color w:val="003A5D"/>
          <w:sz w:val="20"/>
          <w:szCs w:val="20"/>
        </w:rPr>
      </w:pPr>
      <w:r w:rsidRPr="00B968DB">
        <w:rPr>
          <w:rFonts w:ascii="Arial" w:eastAsia="Times New Roman" w:hAnsi="Arial" w:cs="Arial"/>
          <w:color w:val="003A5D"/>
          <w:sz w:val="20"/>
          <w:szCs w:val="20"/>
        </w:rPr>
        <w:t>This project has been funded in part by the United States Environmental Protection Agency under Assistance Agreement</w:t>
      </w:r>
      <w:r>
        <w:rPr>
          <w:rFonts w:ascii="Arial" w:eastAsia="Times New Roman" w:hAnsi="Arial" w:cs="Arial"/>
          <w:color w:val="003A5D"/>
          <w:sz w:val="20"/>
          <w:szCs w:val="20"/>
        </w:rPr>
        <w:t xml:space="preserve"> </w:t>
      </w:r>
      <w:r w:rsidRPr="00823FF4">
        <w:rPr>
          <w:rFonts w:ascii="Arial" w:eastAsia="Times New Roman" w:hAnsi="Arial" w:cs="Arial"/>
          <w:color w:val="003A5D"/>
          <w:sz w:val="20"/>
          <w:szCs w:val="20"/>
        </w:rPr>
        <w:t>2015-10 to Thurston County Planning Department</w:t>
      </w:r>
      <w:r>
        <w:rPr>
          <w:rFonts w:ascii="Arial" w:eastAsia="Times New Roman" w:hAnsi="Arial" w:cs="Arial"/>
          <w:color w:val="003A5D"/>
          <w:sz w:val="20"/>
          <w:szCs w:val="20"/>
        </w:rPr>
        <w:t>.</w:t>
      </w:r>
    </w:p>
    <w:p w14:paraId="7CCBCB3D" w14:textId="77777777" w:rsidR="00C57BB8" w:rsidRPr="00823FF4" w:rsidRDefault="00C57BB8" w:rsidP="00823FF4">
      <w:pPr>
        <w:spacing w:after="0" w:line="240" w:lineRule="auto"/>
        <w:rPr>
          <w:rFonts w:ascii="Arial" w:eastAsia="Times New Roman" w:hAnsi="Arial" w:cs="Arial"/>
          <w:color w:val="003A5D"/>
          <w:sz w:val="20"/>
          <w:szCs w:val="20"/>
        </w:rPr>
      </w:pPr>
    </w:p>
    <w:p w14:paraId="14E6BD90" w14:textId="7C6C6FC2" w:rsidR="00B968DB" w:rsidRPr="00B968DB" w:rsidRDefault="00B968DB" w:rsidP="00B968DB">
      <w:pPr>
        <w:spacing w:after="150" w:line="240" w:lineRule="auto"/>
        <w:rPr>
          <w:rFonts w:ascii="Arial" w:eastAsia="Times New Roman" w:hAnsi="Arial" w:cs="Arial"/>
          <w:color w:val="003A5D"/>
          <w:sz w:val="20"/>
          <w:szCs w:val="20"/>
        </w:rPr>
      </w:pPr>
      <w:r w:rsidRPr="00B968DB">
        <w:rPr>
          <w:rFonts w:ascii="Arial" w:eastAsia="Times New Roman" w:hAnsi="Arial" w:cs="Arial"/>
          <w:color w:val="003A5D"/>
          <w:sz w:val="20"/>
          <w:szCs w:val="20"/>
        </w:rPr>
        <w:t>The contents of this document do not necessarily reflect the views and policies of the Environmental Protection Agency, nor does mention of trade names or commercial products constitute endorsement or recommendation for use. </w:t>
      </w:r>
    </w:p>
    <w:p w14:paraId="7302E8C5" w14:textId="77777777" w:rsidR="00B968DB" w:rsidRPr="00B968DB" w:rsidRDefault="00B968DB" w:rsidP="00B968DB">
      <w:pPr>
        <w:spacing w:before="300" w:after="150" w:line="240" w:lineRule="auto"/>
        <w:outlineLvl w:val="1"/>
        <w:rPr>
          <w:rFonts w:ascii="Trebuchet MS" w:eastAsia="Times New Roman" w:hAnsi="Trebuchet MS" w:cs="Arial"/>
          <w:b/>
          <w:bCs/>
          <w:caps/>
          <w:color w:val="003A5D"/>
          <w:sz w:val="24"/>
          <w:szCs w:val="24"/>
        </w:rPr>
      </w:pPr>
      <w:bookmarkStart w:id="1" w:name="_Toc462918322"/>
      <w:r w:rsidRPr="00B968DB">
        <w:rPr>
          <w:rFonts w:ascii="Trebuchet MS" w:eastAsia="Times New Roman" w:hAnsi="Trebuchet MS" w:cs="Arial"/>
          <w:b/>
          <w:bCs/>
          <w:caps/>
          <w:color w:val="003A5D"/>
          <w:sz w:val="24"/>
          <w:szCs w:val="24"/>
        </w:rPr>
        <w:t>TABLE OF CONTENTS</w:t>
      </w:r>
      <w:bookmarkEnd w:id="1"/>
    </w:p>
    <w:sdt>
      <w:sdtPr>
        <w:id w:val="-741717296"/>
        <w:docPartObj>
          <w:docPartGallery w:val="Table of Contents"/>
          <w:docPartUnique/>
        </w:docPartObj>
      </w:sdtPr>
      <w:sdtEndPr>
        <w:rPr>
          <w:b/>
          <w:bCs/>
          <w:noProof/>
        </w:rPr>
      </w:sdtEndPr>
      <w:sdtContent>
        <w:p w14:paraId="5AB049D3" w14:textId="762E2A14" w:rsidR="00D05070" w:rsidRDefault="00D05070" w:rsidP="00D05070">
          <w:pPr>
            <w:pStyle w:val="TOC2"/>
            <w:tabs>
              <w:tab w:val="right" w:leader="dot" w:pos="12950"/>
            </w:tabs>
            <w:ind w:left="0"/>
            <w:rPr>
              <w:rFonts w:eastAsiaTheme="minorEastAsia"/>
              <w:noProof/>
            </w:rPr>
          </w:pPr>
          <w:r>
            <w:fldChar w:fldCharType="begin"/>
          </w:r>
          <w:r>
            <w:instrText xml:space="preserve"> TOC \o "1-3" \h \z \u </w:instrText>
          </w:r>
          <w:r>
            <w:fldChar w:fldCharType="separate"/>
          </w:r>
          <w:hyperlink w:anchor="_Toc462918327" w:history="1">
            <w:r w:rsidRPr="00C13F57">
              <w:rPr>
                <w:rStyle w:val="Hyperlink"/>
                <w:rFonts w:ascii="Trebuchet MS" w:eastAsia="Times New Roman" w:hAnsi="Trebuchet MS" w:cs="Times New Roman"/>
                <w:b/>
                <w:bCs/>
                <w:caps/>
                <w:noProof/>
                <w:kern w:val="36"/>
              </w:rPr>
              <w:t>1.0 LIO OVERVIEW</w:t>
            </w:r>
            <w:r>
              <w:rPr>
                <w:noProof/>
                <w:webHidden/>
              </w:rPr>
              <w:tab/>
            </w:r>
            <w:r>
              <w:rPr>
                <w:noProof/>
                <w:webHidden/>
              </w:rPr>
              <w:fldChar w:fldCharType="begin"/>
            </w:r>
            <w:r>
              <w:rPr>
                <w:noProof/>
                <w:webHidden/>
              </w:rPr>
              <w:instrText xml:space="preserve"> PAGEREF _Toc462918327 \h </w:instrText>
            </w:r>
            <w:r>
              <w:rPr>
                <w:noProof/>
                <w:webHidden/>
              </w:rPr>
            </w:r>
            <w:r>
              <w:rPr>
                <w:noProof/>
                <w:webHidden/>
              </w:rPr>
              <w:fldChar w:fldCharType="separate"/>
            </w:r>
            <w:r w:rsidR="00463E64">
              <w:rPr>
                <w:noProof/>
                <w:webHidden/>
              </w:rPr>
              <w:t>4</w:t>
            </w:r>
            <w:r>
              <w:rPr>
                <w:noProof/>
                <w:webHidden/>
              </w:rPr>
              <w:fldChar w:fldCharType="end"/>
            </w:r>
          </w:hyperlink>
        </w:p>
        <w:p w14:paraId="380D188B" w14:textId="033D7F09" w:rsidR="00D05070" w:rsidRDefault="00D55723" w:rsidP="001050A0">
          <w:pPr>
            <w:pStyle w:val="TOC1"/>
            <w:rPr>
              <w:rFonts w:eastAsiaTheme="minorEastAsia"/>
              <w:noProof/>
            </w:rPr>
          </w:pPr>
          <w:hyperlink w:anchor="_Toc462918328" w:history="1">
            <w:r w:rsidR="00D05070" w:rsidRPr="00C13F57">
              <w:rPr>
                <w:rStyle w:val="Hyperlink"/>
                <w:rFonts w:ascii="Trebuchet MS" w:eastAsia="Times New Roman" w:hAnsi="Trebuchet MS" w:cs="Times New Roman"/>
                <w:b/>
                <w:bCs/>
                <w:caps/>
                <w:noProof/>
                <w:kern w:val="36"/>
              </w:rPr>
              <w:t>2.0 PRIORITY VITAL SIGNS, ECOSYSTEM COMPONENTS, AND GOALS FOR THE LIO</w:t>
            </w:r>
            <w:r w:rsidR="00D05070">
              <w:rPr>
                <w:noProof/>
                <w:webHidden/>
              </w:rPr>
              <w:tab/>
            </w:r>
            <w:r w:rsidR="00D05070">
              <w:rPr>
                <w:noProof/>
                <w:webHidden/>
              </w:rPr>
              <w:fldChar w:fldCharType="begin"/>
            </w:r>
            <w:r w:rsidR="00D05070">
              <w:rPr>
                <w:noProof/>
                <w:webHidden/>
              </w:rPr>
              <w:instrText xml:space="preserve"> PAGEREF _Toc462918328 \h </w:instrText>
            </w:r>
            <w:r w:rsidR="00D05070">
              <w:rPr>
                <w:noProof/>
                <w:webHidden/>
              </w:rPr>
            </w:r>
            <w:r w:rsidR="00D05070">
              <w:rPr>
                <w:noProof/>
                <w:webHidden/>
              </w:rPr>
              <w:fldChar w:fldCharType="separate"/>
            </w:r>
            <w:r w:rsidR="00463E64">
              <w:rPr>
                <w:noProof/>
                <w:webHidden/>
              </w:rPr>
              <w:t>2</w:t>
            </w:r>
            <w:r w:rsidR="00D05070">
              <w:rPr>
                <w:noProof/>
                <w:webHidden/>
              </w:rPr>
              <w:fldChar w:fldCharType="end"/>
            </w:r>
          </w:hyperlink>
        </w:p>
        <w:p w14:paraId="077AED56" w14:textId="3A258C65" w:rsidR="00D05070" w:rsidRDefault="00D55723" w:rsidP="001050A0">
          <w:pPr>
            <w:pStyle w:val="TOC1"/>
            <w:rPr>
              <w:rFonts w:eastAsiaTheme="minorEastAsia"/>
              <w:noProof/>
            </w:rPr>
          </w:pPr>
          <w:hyperlink w:anchor="_Toc462918330" w:history="1">
            <w:r w:rsidR="00D05070" w:rsidRPr="00C13F57">
              <w:rPr>
                <w:rStyle w:val="Hyperlink"/>
                <w:rFonts w:ascii="Trebuchet MS" w:eastAsia="Times New Roman" w:hAnsi="Trebuchet MS" w:cs="Times New Roman"/>
                <w:b/>
                <w:bCs/>
                <w:caps/>
                <w:noProof/>
                <w:kern w:val="36"/>
              </w:rPr>
              <w:t>3.0 KEY PRESSURES IN THE LIO AREA</w:t>
            </w:r>
            <w:r w:rsidR="00D05070">
              <w:rPr>
                <w:noProof/>
                <w:webHidden/>
              </w:rPr>
              <w:tab/>
            </w:r>
            <w:r w:rsidR="00D05070">
              <w:rPr>
                <w:noProof/>
                <w:webHidden/>
              </w:rPr>
              <w:fldChar w:fldCharType="begin"/>
            </w:r>
            <w:r w:rsidR="00D05070">
              <w:rPr>
                <w:noProof/>
                <w:webHidden/>
              </w:rPr>
              <w:instrText xml:space="preserve"> PAGEREF _Toc462918330 \h </w:instrText>
            </w:r>
            <w:r w:rsidR="00D05070">
              <w:rPr>
                <w:noProof/>
                <w:webHidden/>
              </w:rPr>
            </w:r>
            <w:r w:rsidR="00D05070">
              <w:rPr>
                <w:noProof/>
                <w:webHidden/>
              </w:rPr>
              <w:fldChar w:fldCharType="separate"/>
            </w:r>
            <w:r w:rsidR="00463E64">
              <w:rPr>
                <w:noProof/>
                <w:webHidden/>
              </w:rPr>
              <w:t>0</w:t>
            </w:r>
            <w:r w:rsidR="00D05070">
              <w:rPr>
                <w:noProof/>
                <w:webHidden/>
              </w:rPr>
              <w:fldChar w:fldCharType="end"/>
            </w:r>
          </w:hyperlink>
        </w:p>
        <w:p w14:paraId="11EFB843" w14:textId="6F232FBB" w:rsidR="00D05070" w:rsidRDefault="00D55723" w:rsidP="001050A0">
          <w:pPr>
            <w:pStyle w:val="TOC1"/>
            <w:rPr>
              <w:rFonts w:eastAsiaTheme="minorEastAsia"/>
              <w:noProof/>
            </w:rPr>
          </w:pPr>
          <w:hyperlink w:anchor="_Toc462918331" w:history="1">
            <w:r w:rsidR="00D05070" w:rsidRPr="00C13F57">
              <w:rPr>
                <w:rStyle w:val="Hyperlink"/>
                <w:rFonts w:ascii="Trebuchet MS" w:eastAsia="Times New Roman" w:hAnsi="Trebuchet MS" w:cs="Times New Roman"/>
                <w:b/>
                <w:bCs/>
                <w:caps/>
                <w:noProof/>
                <w:kern w:val="36"/>
              </w:rPr>
              <w:t>4.0 CURRENT CONTEXT IN THE LIO AREA</w:t>
            </w:r>
            <w:r w:rsidR="00D05070">
              <w:rPr>
                <w:noProof/>
                <w:webHidden/>
              </w:rPr>
              <w:tab/>
            </w:r>
            <w:r w:rsidR="00D05070">
              <w:rPr>
                <w:noProof/>
                <w:webHidden/>
              </w:rPr>
              <w:fldChar w:fldCharType="begin"/>
            </w:r>
            <w:r w:rsidR="00D05070">
              <w:rPr>
                <w:noProof/>
                <w:webHidden/>
              </w:rPr>
              <w:instrText xml:space="preserve"> PAGEREF _Toc462918331 \h </w:instrText>
            </w:r>
            <w:r w:rsidR="00D05070">
              <w:rPr>
                <w:noProof/>
                <w:webHidden/>
              </w:rPr>
            </w:r>
            <w:r w:rsidR="00D05070">
              <w:rPr>
                <w:noProof/>
                <w:webHidden/>
              </w:rPr>
              <w:fldChar w:fldCharType="separate"/>
            </w:r>
            <w:r w:rsidR="00463E64">
              <w:rPr>
                <w:noProof/>
                <w:webHidden/>
              </w:rPr>
              <w:t>0</w:t>
            </w:r>
            <w:r w:rsidR="00D05070">
              <w:rPr>
                <w:noProof/>
                <w:webHidden/>
              </w:rPr>
              <w:fldChar w:fldCharType="end"/>
            </w:r>
          </w:hyperlink>
        </w:p>
        <w:p w14:paraId="2A61DC19" w14:textId="5C5B6F08" w:rsidR="00D05070" w:rsidRDefault="00D55723" w:rsidP="001050A0">
          <w:pPr>
            <w:pStyle w:val="TOC1"/>
            <w:rPr>
              <w:rFonts w:eastAsiaTheme="minorEastAsia"/>
              <w:noProof/>
            </w:rPr>
          </w:pPr>
          <w:hyperlink w:anchor="_Toc462918339" w:history="1">
            <w:r w:rsidR="00D05070" w:rsidRPr="00C13F57">
              <w:rPr>
                <w:rStyle w:val="Hyperlink"/>
                <w:rFonts w:ascii="Trebuchet MS" w:eastAsia="Times New Roman" w:hAnsi="Trebuchet MS" w:cs="Times New Roman"/>
                <w:b/>
                <w:bCs/>
                <w:caps/>
                <w:noProof/>
                <w:kern w:val="36"/>
              </w:rPr>
              <w:t>5.0 OUR STRATEGIES AND ACTIONS</w:t>
            </w:r>
            <w:r w:rsidR="00D05070">
              <w:rPr>
                <w:noProof/>
                <w:webHidden/>
              </w:rPr>
              <w:tab/>
            </w:r>
            <w:r w:rsidR="00D05070">
              <w:rPr>
                <w:noProof/>
                <w:webHidden/>
              </w:rPr>
              <w:fldChar w:fldCharType="begin"/>
            </w:r>
            <w:r w:rsidR="00D05070">
              <w:rPr>
                <w:noProof/>
                <w:webHidden/>
              </w:rPr>
              <w:instrText xml:space="preserve"> PAGEREF _Toc462918339 \h </w:instrText>
            </w:r>
            <w:r w:rsidR="00D05070">
              <w:rPr>
                <w:noProof/>
                <w:webHidden/>
              </w:rPr>
            </w:r>
            <w:r w:rsidR="00D05070">
              <w:rPr>
                <w:noProof/>
                <w:webHidden/>
              </w:rPr>
              <w:fldChar w:fldCharType="separate"/>
            </w:r>
            <w:r w:rsidR="00463E64">
              <w:rPr>
                <w:noProof/>
                <w:webHidden/>
              </w:rPr>
              <w:t>0</w:t>
            </w:r>
            <w:r w:rsidR="00D05070">
              <w:rPr>
                <w:noProof/>
                <w:webHidden/>
              </w:rPr>
              <w:fldChar w:fldCharType="end"/>
            </w:r>
          </w:hyperlink>
        </w:p>
        <w:p w14:paraId="40757063" w14:textId="5B784C2B" w:rsidR="00D05070" w:rsidRDefault="00D55723" w:rsidP="001050A0">
          <w:pPr>
            <w:pStyle w:val="TOC1"/>
            <w:rPr>
              <w:rFonts w:eastAsiaTheme="minorEastAsia"/>
              <w:noProof/>
            </w:rPr>
          </w:pPr>
          <w:hyperlink w:anchor="_Toc462918384" w:history="1">
            <w:r w:rsidR="00D05070" w:rsidRPr="00C13F57">
              <w:rPr>
                <w:rStyle w:val="Hyperlink"/>
                <w:rFonts w:ascii="Trebuchet MS" w:eastAsia="Times New Roman" w:hAnsi="Trebuchet MS" w:cs="Times New Roman"/>
                <w:b/>
                <w:bCs/>
                <w:caps/>
                <w:noProof/>
                <w:kern w:val="36"/>
              </w:rPr>
              <w:t>REFERENCES</w:t>
            </w:r>
            <w:r w:rsidR="00D05070">
              <w:rPr>
                <w:noProof/>
                <w:webHidden/>
              </w:rPr>
              <w:tab/>
            </w:r>
            <w:r w:rsidR="00D05070">
              <w:rPr>
                <w:noProof/>
                <w:webHidden/>
              </w:rPr>
              <w:fldChar w:fldCharType="begin"/>
            </w:r>
            <w:r w:rsidR="00D05070">
              <w:rPr>
                <w:noProof/>
                <w:webHidden/>
              </w:rPr>
              <w:instrText xml:space="preserve"> PAGEREF _Toc462918384 \h </w:instrText>
            </w:r>
            <w:r w:rsidR="00D05070">
              <w:rPr>
                <w:noProof/>
                <w:webHidden/>
              </w:rPr>
            </w:r>
            <w:r w:rsidR="00D05070">
              <w:rPr>
                <w:noProof/>
                <w:webHidden/>
              </w:rPr>
              <w:fldChar w:fldCharType="separate"/>
            </w:r>
            <w:r w:rsidR="00463E64">
              <w:rPr>
                <w:noProof/>
                <w:webHidden/>
              </w:rPr>
              <w:t>16</w:t>
            </w:r>
            <w:r w:rsidR="00D05070">
              <w:rPr>
                <w:noProof/>
                <w:webHidden/>
              </w:rPr>
              <w:fldChar w:fldCharType="end"/>
            </w:r>
          </w:hyperlink>
        </w:p>
        <w:p w14:paraId="74655DB4" w14:textId="26536EB4" w:rsidR="00D05070" w:rsidRDefault="00D55723" w:rsidP="001050A0">
          <w:pPr>
            <w:pStyle w:val="TOC1"/>
            <w:rPr>
              <w:rFonts w:eastAsiaTheme="minorEastAsia"/>
              <w:noProof/>
            </w:rPr>
          </w:pPr>
          <w:hyperlink w:anchor="_Toc462918385" w:history="1">
            <w:r w:rsidR="00D05070" w:rsidRPr="00C13F57">
              <w:rPr>
                <w:rStyle w:val="Hyperlink"/>
                <w:rFonts w:ascii="Trebuchet MS" w:eastAsia="Times New Roman" w:hAnsi="Trebuchet MS" w:cs="Times New Roman"/>
                <w:b/>
                <w:bCs/>
                <w:caps/>
                <w:noProof/>
                <w:kern w:val="36"/>
              </w:rPr>
              <w:t>APPENDICES</w:t>
            </w:r>
            <w:r w:rsidR="00D05070">
              <w:rPr>
                <w:noProof/>
                <w:webHidden/>
              </w:rPr>
              <w:tab/>
            </w:r>
            <w:r w:rsidR="00D05070">
              <w:rPr>
                <w:noProof/>
                <w:webHidden/>
              </w:rPr>
              <w:fldChar w:fldCharType="begin"/>
            </w:r>
            <w:r w:rsidR="00D05070">
              <w:rPr>
                <w:noProof/>
                <w:webHidden/>
              </w:rPr>
              <w:instrText xml:space="preserve"> PAGEREF _Toc462918385 \h </w:instrText>
            </w:r>
            <w:r w:rsidR="00D05070">
              <w:rPr>
                <w:noProof/>
                <w:webHidden/>
              </w:rPr>
            </w:r>
            <w:r w:rsidR="00D05070">
              <w:rPr>
                <w:noProof/>
                <w:webHidden/>
              </w:rPr>
              <w:fldChar w:fldCharType="separate"/>
            </w:r>
            <w:r w:rsidR="00463E64">
              <w:rPr>
                <w:noProof/>
                <w:webHidden/>
              </w:rPr>
              <w:t>16</w:t>
            </w:r>
            <w:r w:rsidR="00D05070">
              <w:rPr>
                <w:noProof/>
                <w:webHidden/>
              </w:rPr>
              <w:fldChar w:fldCharType="end"/>
            </w:r>
          </w:hyperlink>
        </w:p>
        <w:p w14:paraId="6763E725" w14:textId="1E46B510" w:rsidR="00D05070" w:rsidRDefault="00D05070">
          <w:r>
            <w:rPr>
              <w:b/>
              <w:bCs/>
              <w:noProof/>
            </w:rPr>
            <w:fldChar w:fldCharType="end"/>
          </w:r>
        </w:p>
      </w:sdtContent>
    </w:sdt>
    <w:p w14:paraId="4EBE8EC5" w14:textId="0674256E" w:rsidR="00290C9D" w:rsidRDefault="00290C9D" w:rsidP="00B968DB">
      <w:pPr>
        <w:pBdr>
          <w:bottom w:val="single" w:sz="12" w:space="0" w:color="003A5D"/>
        </w:pBdr>
        <w:spacing w:before="150" w:after="150" w:line="240" w:lineRule="auto"/>
        <w:outlineLvl w:val="0"/>
        <w:rPr>
          <w:rFonts w:ascii="Trebuchet MS" w:eastAsia="Times New Roman" w:hAnsi="Trebuchet MS" w:cs="Times New Roman"/>
          <w:b/>
          <w:bCs/>
          <w:caps/>
          <w:color w:val="003A5D"/>
          <w:kern w:val="36"/>
          <w:sz w:val="28"/>
          <w:szCs w:val="28"/>
        </w:rPr>
        <w:sectPr w:rsidR="00290C9D" w:rsidSect="00BE0816">
          <w:headerReference w:type="default" r:id="rId14"/>
          <w:footerReference w:type="default" r:id="rId15"/>
          <w:headerReference w:type="first" r:id="rId16"/>
          <w:type w:val="continuous"/>
          <w:pgSz w:w="15840" w:h="12240" w:orient="landscape"/>
          <w:pgMar w:top="1440" w:right="1440" w:bottom="1440" w:left="1440" w:header="720" w:footer="720" w:gutter="0"/>
          <w:pgNumType w:start="0"/>
          <w:cols w:space="720"/>
          <w:titlePg/>
          <w:docGrid w:linePitch="360"/>
        </w:sectPr>
      </w:pPr>
      <w:bookmarkStart w:id="2" w:name="_Toc462918323"/>
    </w:p>
    <w:p w14:paraId="50307B40" w14:textId="0894C7B8" w:rsidR="00B968DB" w:rsidRPr="00B968DB" w:rsidRDefault="00B968DB" w:rsidP="00B968DB">
      <w:pPr>
        <w:pBdr>
          <w:bottom w:val="single" w:sz="12" w:space="0" w:color="003A5D"/>
        </w:pBdr>
        <w:spacing w:before="150" w:after="150" w:line="240" w:lineRule="auto"/>
        <w:outlineLvl w:val="0"/>
        <w:rPr>
          <w:rFonts w:ascii="Trebuchet MS" w:eastAsia="Times New Roman" w:hAnsi="Trebuchet MS" w:cs="Times New Roman"/>
          <w:b/>
          <w:bCs/>
          <w:caps/>
          <w:color w:val="003A5D"/>
          <w:kern w:val="36"/>
          <w:sz w:val="28"/>
          <w:szCs w:val="28"/>
        </w:rPr>
      </w:pPr>
      <w:r w:rsidRPr="00B968DB">
        <w:rPr>
          <w:rFonts w:ascii="Trebuchet MS" w:eastAsia="Times New Roman" w:hAnsi="Trebuchet MS" w:cs="Times New Roman"/>
          <w:b/>
          <w:bCs/>
          <w:caps/>
          <w:color w:val="003A5D"/>
          <w:kern w:val="36"/>
          <w:sz w:val="28"/>
          <w:szCs w:val="28"/>
        </w:rPr>
        <w:lastRenderedPageBreak/>
        <w:t>EXECUTIVE SUMMARY</w:t>
      </w:r>
      <w:bookmarkEnd w:id="2"/>
    </w:p>
    <w:p w14:paraId="25685C92" w14:textId="77777777" w:rsidR="00823FF4" w:rsidRDefault="00B968DB" w:rsidP="00B968DB">
      <w:pPr>
        <w:spacing w:after="150" w:line="240" w:lineRule="auto"/>
        <w:rPr>
          <w:rFonts w:ascii="Arial" w:eastAsia="Times New Roman" w:hAnsi="Arial" w:cs="Arial"/>
          <w:color w:val="003A5D"/>
          <w:sz w:val="20"/>
          <w:szCs w:val="20"/>
        </w:rPr>
      </w:pPr>
      <w:r w:rsidRPr="00B968DB">
        <w:rPr>
          <w:rFonts w:ascii="Arial" w:eastAsia="Times New Roman" w:hAnsi="Arial" w:cs="Arial"/>
          <w:color w:val="003A5D"/>
          <w:sz w:val="20"/>
          <w:szCs w:val="20"/>
        </w:rPr>
        <w:br/>
        <w:t>The key goals of long-term planning fo</w:t>
      </w:r>
      <w:r w:rsidR="00823FF4">
        <w:rPr>
          <w:rFonts w:ascii="Arial" w:eastAsia="Times New Roman" w:hAnsi="Arial" w:cs="Arial"/>
          <w:color w:val="003A5D"/>
          <w:sz w:val="20"/>
          <w:szCs w:val="20"/>
        </w:rPr>
        <w:t>r ecosystem recovery are to:</w:t>
      </w:r>
    </w:p>
    <w:p w14:paraId="0E6DF9A4" w14:textId="77777777" w:rsidR="00823FF4" w:rsidRDefault="00B968DB" w:rsidP="00823FF4">
      <w:pPr>
        <w:pStyle w:val="ListParagraph"/>
        <w:numPr>
          <w:ilvl w:val="0"/>
          <w:numId w:val="3"/>
        </w:num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Ensure that funding is targeted at the highest priority local actions</w:t>
      </w:r>
    </w:p>
    <w:p w14:paraId="148BE7A9" w14:textId="77777777" w:rsidR="00823FF4" w:rsidRDefault="00B968DB" w:rsidP="00823FF4">
      <w:pPr>
        <w:pStyle w:val="ListParagraph"/>
        <w:numPr>
          <w:ilvl w:val="0"/>
          <w:numId w:val="3"/>
        </w:num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Coordinate recovery actions acr</w:t>
      </w:r>
      <w:r w:rsidR="00823FF4">
        <w:rPr>
          <w:rFonts w:ascii="Arial" w:eastAsia="Times New Roman" w:hAnsi="Arial" w:cs="Arial"/>
          <w:color w:val="003A5D"/>
          <w:sz w:val="20"/>
          <w:szCs w:val="20"/>
        </w:rPr>
        <w:t>oss local areas and the region</w:t>
      </w:r>
    </w:p>
    <w:p w14:paraId="6918C270" w14:textId="77777777" w:rsidR="00823FF4" w:rsidRDefault="00B968DB" w:rsidP="00823FF4">
      <w:p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To advance these goals, the U.S. Environmental Protection Agency (EPA) EPA is supporting the Puget Sound region’s Local Integrating Organizations (LIOs) in developing LIO 5-year Ecosystem Recovery Plans and associated 2-year Implementation Plans. This focused, strategic recovery plann</w:t>
      </w:r>
      <w:r w:rsidR="00823FF4">
        <w:rPr>
          <w:rFonts w:ascii="Arial" w:eastAsia="Times New Roman" w:hAnsi="Arial" w:cs="Arial"/>
          <w:color w:val="003A5D"/>
          <w:sz w:val="20"/>
          <w:szCs w:val="20"/>
        </w:rPr>
        <w:t>ing will achieve the following:</w:t>
      </w:r>
    </w:p>
    <w:p w14:paraId="392DD4B0" w14:textId="77777777" w:rsidR="00823FF4" w:rsidRDefault="00B968DB" w:rsidP="00823FF4">
      <w:pPr>
        <w:pStyle w:val="ListParagraph"/>
        <w:numPr>
          <w:ilvl w:val="0"/>
          <w:numId w:val="4"/>
        </w:num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Provide a roadmap for local ecosystem strategic efforts that focuses recovery planning and actions on the highest priority recovery needs</w:t>
      </w:r>
    </w:p>
    <w:p w14:paraId="1E1AE97A" w14:textId="77777777" w:rsidR="00823FF4" w:rsidRDefault="00B968DB" w:rsidP="00823FF4">
      <w:pPr>
        <w:pStyle w:val="ListParagraph"/>
        <w:numPr>
          <w:ilvl w:val="0"/>
          <w:numId w:val="4"/>
        </w:num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Build on and work in coordination with existing related recovery efforts (salmon r</w:t>
      </w:r>
      <w:r w:rsidR="00823FF4">
        <w:rPr>
          <w:rFonts w:ascii="Arial" w:eastAsia="Times New Roman" w:hAnsi="Arial" w:cs="Arial"/>
          <w:color w:val="003A5D"/>
          <w:sz w:val="20"/>
          <w:szCs w:val="20"/>
        </w:rPr>
        <w:t>ecovery planning, for example)</w:t>
      </w:r>
    </w:p>
    <w:p w14:paraId="524123BD" w14:textId="77777777" w:rsidR="00823FF4" w:rsidRDefault="00B968DB" w:rsidP="00823FF4">
      <w:pPr>
        <w:pStyle w:val="ListParagraph"/>
        <w:numPr>
          <w:ilvl w:val="0"/>
          <w:numId w:val="4"/>
        </w:num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Ensure consistency (in terminology, structure, and content) of local plans with the Puget Sound Action Agenda so that LIO priorities inform regional decision making and sequencing of recovery actions</w:t>
      </w:r>
    </w:p>
    <w:p w14:paraId="0C3B9A5B" w14:textId="77777777" w:rsidR="00823FF4" w:rsidRDefault="00B968DB" w:rsidP="00823FF4">
      <w:pPr>
        <w:pStyle w:val="ListParagraph"/>
        <w:numPr>
          <w:ilvl w:val="0"/>
          <w:numId w:val="4"/>
        </w:num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Result from a rigorous, defensible process that will identify the highest priority recovery strategies in each LIO area, thus helping to direct limited funding to where it will be most effective</w:t>
      </w:r>
    </w:p>
    <w:p w14:paraId="2B65599F" w14:textId="77777777" w:rsidR="00823FF4" w:rsidRDefault="00B968DB" w:rsidP="00823FF4">
      <w:pPr>
        <w:pStyle w:val="ListParagraph"/>
        <w:numPr>
          <w:ilvl w:val="0"/>
          <w:numId w:val="4"/>
        </w:num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Serve as a longer-term, durable strategic framework from which local Near Term Actions (NTAs) to be included in the Puget Sound Action Agenda can be developed</w:t>
      </w:r>
    </w:p>
    <w:p w14:paraId="6EF519B8" w14:textId="2CF27BF1" w:rsidR="00B968DB" w:rsidRDefault="00B968DB" w:rsidP="00823FF4">
      <w:pPr>
        <w:pStyle w:val="ListParagraph"/>
        <w:numPr>
          <w:ilvl w:val="0"/>
          <w:numId w:val="4"/>
        </w:numPr>
        <w:spacing w:after="150" w:line="240" w:lineRule="auto"/>
        <w:rPr>
          <w:rFonts w:ascii="Arial" w:eastAsia="Times New Roman" w:hAnsi="Arial" w:cs="Arial"/>
          <w:color w:val="003A5D"/>
          <w:sz w:val="20"/>
          <w:szCs w:val="20"/>
        </w:rPr>
      </w:pPr>
      <w:r w:rsidRPr="00823FF4">
        <w:rPr>
          <w:rFonts w:ascii="Arial" w:eastAsia="Times New Roman" w:hAnsi="Arial" w:cs="Arial"/>
          <w:color w:val="003A5D"/>
          <w:sz w:val="20"/>
          <w:szCs w:val="20"/>
        </w:rPr>
        <w:t>Provide accounting of existing work underway to improve the health of the LIO area and identify gaps where work is needed</w:t>
      </w:r>
    </w:p>
    <w:p w14:paraId="6D89A6E9" w14:textId="61DEBABE" w:rsidR="00463E64" w:rsidRPr="00463E64" w:rsidRDefault="00463E64" w:rsidP="00463E64">
      <w:pPr>
        <w:spacing w:after="150" w:line="240" w:lineRule="auto"/>
        <w:rPr>
          <w:rFonts w:ascii="Arial" w:eastAsia="Times New Roman" w:hAnsi="Arial" w:cs="Arial"/>
          <w:color w:val="003A5D"/>
          <w:sz w:val="20"/>
          <w:szCs w:val="20"/>
        </w:rPr>
      </w:pPr>
      <w:r>
        <w:rPr>
          <w:rFonts w:ascii="Arial" w:eastAsia="Times New Roman" w:hAnsi="Arial" w:cs="Arial"/>
          <w:color w:val="003A5D"/>
          <w:sz w:val="20"/>
          <w:szCs w:val="20"/>
        </w:rPr>
        <w:t>The AHSS recovery plan includes a major effort to map status and trends of key South Sound attributes and identify priority areas for protection and restoration within each of the South Sound inlet and island groups. Details of this work are provided in Appendix F.</w:t>
      </w:r>
    </w:p>
    <w:p w14:paraId="4BE88F05" w14:textId="7F0678FA" w:rsidR="00B968DB" w:rsidRPr="00B968DB" w:rsidRDefault="00B968DB" w:rsidP="00B968DB">
      <w:pPr>
        <w:spacing w:after="0" w:line="240" w:lineRule="auto"/>
        <w:rPr>
          <w:rFonts w:ascii="Times New Roman" w:eastAsia="Times New Roman" w:hAnsi="Times New Roman" w:cs="Times New Roman"/>
          <w:sz w:val="24"/>
          <w:szCs w:val="24"/>
        </w:rPr>
      </w:pPr>
    </w:p>
    <w:p w14:paraId="33C3914D" w14:textId="77777777" w:rsidR="00B968DB" w:rsidRPr="00B968DB" w:rsidRDefault="00B968DB" w:rsidP="00B968DB">
      <w:pPr>
        <w:spacing w:before="75" w:after="75" w:line="240" w:lineRule="auto"/>
        <w:rPr>
          <w:rFonts w:ascii="Arial" w:eastAsia="Times New Roman" w:hAnsi="Arial" w:cs="Arial"/>
          <w:caps/>
          <w:color w:val="003A5D"/>
        </w:rPr>
      </w:pPr>
      <w:r w:rsidRPr="00B968DB">
        <w:rPr>
          <w:rFonts w:ascii="Arial" w:eastAsia="Times New Roman" w:hAnsi="Arial" w:cs="Arial"/>
          <w:caps/>
          <w:color w:val="003A5D"/>
        </w:rPr>
        <w:t>RECOVERY PLAN STATUS</w:t>
      </w:r>
    </w:p>
    <w:p w14:paraId="70AA12AF" w14:textId="074E5D35" w:rsidR="00B968DB" w:rsidRPr="00B968DB" w:rsidRDefault="00F43BD5" w:rsidP="00F43BD5">
      <w:pPr>
        <w:spacing w:after="150" w:line="240" w:lineRule="auto"/>
        <w:rPr>
          <w:rFonts w:ascii="Times New Roman" w:eastAsia="Times New Roman" w:hAnsi="Times New Roman" w:cs="Times New Roman"/>
          <w:sz w:val="24"/>
          <w:szCs w:val="24"/>
        </w:rPr>
      </w:pPr>
      <w:r w:rsidRPr="00F43BD5">
        <w:rPr>
          <w:rFonts w:ascii="Arial" w:eastAsia="Times New Roman" w:hAnsi="Arial" w:cs="Arial"/>
          <w:color w:val="003A5D"/>
          <w:sz w:val="20"/>
          <w:szCs w:val="20"/>
        </w:rPr>
        <w:t>This recovery plan is in draft status</w:t>
      </w:r>
      <w:r>
        <w:rPr>
          <w:rFonts w:ascii="Arial" w:eastAsia="Times New Roman" w:hAnsi="Arial" w:cs="Arial"/>
          <w:color w:val="003A5D"/>
          <w:sz w:val="20"/>
          <w:szCs w:val="20"/>
        </w:rPr>
        <w:t xml:space="preserve"> and will be additionally refined and vetted.</w:t>
      </w:r>
      <w:r w:rsidR="00B968DB" w:rsidRPr="00F43BD5">
        <w:rPr>
          <w:rFonts w:ascii="Arial" w:eastAsia="Times New Roman" w:hAnsi="Arial" w:cs="Arial"/>
          <w:color w:val="003A5D"/>
          <w:sz w:val="20"/>
          <w:szCs w:val="20"/>
        </w:rPr>
        <w:br/>
      </w:r>
    </w:p>
    <w:p w14:paraId="479BAA00" w14:textId="77777777" w:rsidR="00B968DB" w:rsidRPr="00B968DB" w:rsidRDefault="00B968DB" w:rsidP="00B968DB">
      <w:pPr>
        <w:spacing w:before="75" w:after="75" w:line="240" w:lineRule="auto"/>
        <w:rPr>
          <w:rFonts w:ascii="Arial" w:eastAsia="Times New Roman" w:hAnsi="Arial" w:cs="Arial"/>
          <w:caps/>
          <w:color w:val="003A5D"/>
        </w:rPr>
      </w:pPr>
      <w:r w:rsidRPr="00B968DB">
        <w:rPr>
          <w:rFonts w:ascii="Arial" w:eastAsia="Times New Roman" w:hAnsi="Arial" w:cs="Arial"/>
          <w:caps/>
          <w:color w:val="003A5D"/>
        </w:rPr>
        <w:t>NEXT STEPS</w:t>
      </w:r>
    </w:p>
    <w:p w14:paraId="39D5A787" w14:textId="79E2C862" w:rsidR="00B968DB" w:rsidRPr="008D51B2" w:rsidRDefault="008D51B2" w:rsidP="00B968DB">
      <w:pPr>
        <w:spacing w:after="0" w:line="240" w:lineRule="auto"/>
        <w:rPr>
          <w:rFonts w:ascii="Times New Roman" w:eastAsia="Times New Roman" w:hAnsi="Times New Roman" w:cs="Times New Roman"/>
          <w:sz w:val="20"/>
          <w:szCs w:val="20"/>
        </w:rPr>
      </w:pPr>
      <w:r w:rsidRPr="005F2213">
        <w:rPr>
          <w:rFonts w:ascii="Arial" w:eastAsia="Times New Roman" w:hAnsi="Arial" w:cs="Arial"/>
          <w:color w:val="003A5D"/>
          <w:sz w:val="20"/>
          <w:szCs w:val="20"/>
        </w:rPr>
        <w:t>AHSS will continue to refine its recovery plan over the next several months</w:t>
      </w:r>
      <w:r w:rsidR="00631A93" w:rsidRPr="005F2213">
        <w:rPr>
          <w:rFonts w:ascii="Arial" w:eastAsia="Times New Roman" w:hAnsi="Arial" w:cs="Arial"/>
          <w:color w:val="003A5D"/>
          <w:sz w:val="20"/>
          <w:szCs w:val="20"/>
        </w:rPr>
        <w:t>. K</w:t>
      </w:r>
      <w:r w:rsidR="008C018E" w:rsidRPr="005F2213">
        <w:rPr>
          <w:rFonts w:ascii="Arial" w:eastAsia="Times New Roman" w:hAnsi="Arial" w:cs="Arial"/>
          <w:color w:val="003A5D"/>
          <w:sz w:val="20"/>
          <w:szCs w:val="20"/>
        </w:rPr>
        <w:t>ey discussion</w:t>
      </w:r>
      <w:r w:rsidR="00631A93" w:rsidRPr="005F2213">
        <w:rPr>
          <w:rFonts w:ascii="Arial" w:eastAsia="Times New Roman" w:hAnsi="Arial" w:cs="Arial"/>
          <w:color w:val="003A5D"/>
          <w:sz w:val="20"/>
          <w:szCs w:val="20"/>
        </w:rPr>
        <w:t>s</w:t>
      </w:r>
      <w:r w:rsidR="008C018E" w:rsidRPr="005F2213">
        <w:rPr>
          <w:rFonts w:ascii="Arial" w:eastAsia="Times New Roman" w:hAnsi="Arial" w:cs="Arial"/>
          <w:color w:val="003A5D"/>
          <w:sz w:val="20"/>
          <w:szCs w:val="20"/>
        </w:rPr>
        <w:t xml:space="preserve"> to be held with the AHSS Technical Team, Council, and Executive Committee will center around: 1) </w:t>
      </w:r>
      <w:r w:rsidR="002907A6" w:rsidRPr="005F2213">
        <w:rPr>
          <w:rFonts w:ascii="Arial" w:eastAsia="Times New Roman" w:hAnsi="Arial" w:cs="Arial"/>
          <w:color w:val="003A5D"/>
          <w:sz w:val="20"/>
          <w:szCs w:val="20"/>
        </w:rPr>
        <w:t xml:space="preserve">how to </w:t>
      </w:r>
      <w:r w:rsidR="008C018E" w:rsidRPr="005F2213">
        <w:rPr>
          <w:rFonts w:ascii="Arial" w:eastAsia="Times New Roman" w:hAnsi="Arial" w:cs="Arial"/>
          <w:color w:val="003A5D"/>
          <w:sz w:val="20"/>
          <w:szCs w:val="20"/>
        </w:rPr>
        <w:t>update the recovery plan on a regular basis</w:t>
      </w:r>
      <w:r w:rsidR="00631A93" w:rsidRPr="005F2213">
        <w:rPr>
          <w:rFonts w:ascii="Arial" w:eastAsia="Times New Roman" w:hAnsi="Arial" w:cs="Arial"/>
          <w:color w:val="003A5D"/>
          <w:sz w:val="20"/>
          <w:szCs w:val="20"/>
        </w:rPr>
        <w:t xml:space="preserve">, </w:t>
      </w:r>
      <w:r w:rsidR="008C018E" w:rsidRPr="005F2213">
        <w:rPr>
          <w:rFonts w:ascii="Arial" w:eastAsia="Times New Roman" w:hAnsi="Arial" w:cs="Arial"/>
          <w:color w:val="003A5D"/>
          <w:sz w:val="20"/>
          <w:szCs w:val="20"/>
        </w:rPr>
        <w:t xml:space="preserve">2) </w:t>
      </w:r>
      <w:r w:rsidR="002907A6" w:rsidRPr="005F2213">
        <w:rPr>
          <w:rFonts w:ascii="Arial" w:eastAsia="Times New Roman" w:hAnsi="Arial" w:cs="Arial"/>
          <w:color w:val="003A5D"/>
          <w:sz w:val="20"/>
          <w:szCs w:val="20"/>
        </w:rPr>
        <w:t xml:space="preserve">appropriate timelines for achieving </w:t>
      </w:r>
      <w:r w:rsidR="00631A93" w:rsidRPr="005F2213">
        <w:rPr>
          <w:rFonts w:ascii="Arial" w:eastAsia="Times New Roman" w:hAnsi="Arial" w:cs="Arial"/>
          <w:color w:val="003A5D"/>
          <w:sz w:val="20"/>
          <w:szCs w:val="20"/>
        </w:rPr>
        <w:t>recovery targets, 3) additional existing programs that will help implement the strategy.</w:t>
      </w:r>
      <w:r w:rsidR="00B968DB" w:rsidRPr="005F2213">
        <w:rPr>
          <w:rFonts w:ascii="Arial" w:eastAsia="Times New Roman" w:hAnsi="Arial" w:cs="Arial"/>
          <w:color w:val="003A5D"/>
          <w:sz w:val="20"/>
          <w:szCs w:val="20"/>
        </w:rPr>
        <w:br/>
      </w:r>
    </w:p>
    <w:p w14:paraId="5488C49A" w14:textId="77777777" w:rsidR="00B968DB" w:rsidRPr="00B968DB" w:rsidRDefault="00B968DB" w:rsidP="00B968DB">
      <w:pPr>
        <w:spacing w:before="75" w:after="75" w:line="240" w:lineRule="auto"/>
        <w:rPr>
          <w:rFonts w:ascii="Arial" w:eastAsia="Times New Roman" w:hAnsi="Arial" w:cs="Arial"/>
          <w:caps/>
          <w:color w:val="003A5D"/>
        </w:rPr>
      </w:pPr>
      <w:r w:rsidRPr="00B968DB">
        <w:rPr>
          <w:rFonts w:ascii="Arial" w:eastAsia="Times New Roman" w:hAnsi="Arial" w:cs="Arial"/>
          <w:caps/>
          <w:color w:val="003A5D"/>
        </w:rPr>
        <w:t>LESSONS LEARNED</w:t>
      </w:r>
    </w:p>
    <w:p w14:paraId="6B624884" w14:textId="12A52BA2" w:rsidR="003B00B6" w:rsidRPr="005F2213" w:rsidRDefault="003B00B6" w:rsidP="00B968DB">
      <w:pPr>
        <w:spacing w:after="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Participants in this process consolidated a significant amount of existing information on key South Sound ecosystem processes and identified several key dat</w:t>
      </w:r>
      <w:r w:rsidR="007729CA" w:rsidRPr="005F2213">
        <w:rPr>
          <w:rFonts w:ascii="Arial" w:eastAsia="Times New Roman" w:hAnsi="Arial" w:cs="Arial"/>
          <w:color w:val="003A5D"/>
          <w:sz w:val="20"/>
          <w:szCs w:val="20"/>
        </w:rPr>
        <w:t>a gaps. Identifying these data gaps is an important step in ensuring that sufficient information exists to make scientifically informed decision-making around South Sound recovery.</w:t>
      </w:r>
    </w:p>
    <w:p w14:paraId="61CF1E6E" w14:textId="64D7B188" w:rsidR="00B968DB" w:rsidRPr="00B968DB" w:rsidRDefault="00B968DB" w:rsidP="003B00B6">
      <w:pPr>
        <w:spacing w:after="0" w:line="240" w:lineRule="auto"/>
        <w:rPr>
          <w:rFonts w:ascii="Trebuchet MS" w:eastAsia="Times New Roman" w:hAnsi="Trebuchet MS" w:cs="Times New Roman"/>
          <w:b/>
          <w:bCs/>
          <w:caps/>
          <w:color w:val="003A5D"/>
          <w:kern w:val="36"/>
          <w:sz w:val="28"/>
          <w:szCs w:val="28"/>
        </w:rPr>
      </w:pPr>
      <w:r w:rsidRPr="003B00B6">
        <w:rPr>
          <w:rFonts w:ascii="Arial" w:eastAsia="Times New Roman" w:hAnsi="Arial" w:cs="Arial"/>
          <w:color w:val="000000"/>
          <w:sz w:val="20"/>
          <w:szCs w:val="20"/>
        </w:rPr>
        <w:lastRenderedPageBreak/>
        <w:br/>
      </w:r>
      <w:r w:rsidRPr="00B968DB">
        <w:rPr>
          <w:rFonts w:ascii="Trebuchet MS" w:eastAsia="Times New Roman" w:hAnsi="Trebuchet MS" w:cs="Times New Roman"/>
          <w:b/>
          <w:bCs/>
          <w:caps/>
          <w:color w:val="003A5D"/>
          <w:kern w:val="36"/>
          <w:sz w:val="28"/>
          <w:szCs w:val="28"/>
        </w:rPr>
        <w:t>PARTICIPANTS</w:t>
      </w:r>
    </w:p>
    <w:p w14:paraId="7B0A822D" w14:textId="77777777" w:rsidR="00BE0816" w:rsidRPr="00BE0816" w:rsidRDefault="00BE0816" w:rsidP="00BE0816">
      <w:pPr>
        <w:keepNext/>
        <w:keepLines/>
        <w:spacing w:line="392" w:lineRule="auto"/>
        <w:rPr>
          <w:rFonts w:ascii="Arial" w:eastAsia="Times New Roman" w:hAnsi="Arial" w:cs="Arial"/>
          <w:color w:val="003A5D"/>
          <w:sz w:val="20"/>
          <w:szCs w:val="20"/>
        </w:rPr>
      </w:pPr>
      <w:r w:rsidRPr="00BE0816">
        <w:rPr>
          <w:rFonts w:ascii="Arial" w:eastAsia="Times New Roman" w:hAnsi="Arial" w:cs="Arial"/>
          <w:color w:val="003A5D"/>
          <w:sz w:val="20"/>
          <w:szCs w:val="20"/>
        </w:rPr>
        <w:t>The table below shows the members of the technical team who took the lead on developing the products in this report.</w:t>
      </w:r>
    </w:p>
    <w:tbl>
      <w:tblPr>
        <w:tblW w:w="12970" w:type="dxa"/>
        <w:jc w:val="center"/>
        <w:tblBorders>
          <w:top w:val="single" w:sz="4" w:space="0" w:color="1F4E79" w:themeColor="accent1" w:themeShade="80"/>
          <w:left w:val="single" w:sz="4" w:space="0" w:color="1F4E79" w:themeColor="accent1" w:themeShade="80"/>
          <w:bottom w:val="single" w:sz="4" w:space="0" w:color="1F4E79" w:themeColor="accent1" w:themeShade="80"/>
          <w:right w:val="single" w:sz="4" w:space="0" w:color="1F4E79" w:themeColor="accent1" w:themeShade="80"/>
          <w:insideH w:val="single" w:sz="4" w:space="0" w:color="1F4E79" w:themeColor="accent1" w:themeShade="80"/>
          <w:insideV w:val="single" w:sz="4" w:space="0" w:color="1F4E79" w:themeColor="accent1" w:themeShade="80"/>
        </w:tblBorders>
        <w:tblLayout w:type="fixed"/>
        <w:tblLook w:val="0400" w:firstRow="0" w:lastRow="0" w:firstColumn="0" w:lastColumn="0" w:noHBand="0" w:noVBand="1"/>
      </w:tblPr>
      <w:tblGrid>
        <w:gridCol w:w="2065"/>
        <w:gridCol w:w="4420"/>
        <w:gridCol w:w="3815"/>
        <w:gridCol w:w="2670"/>
      </w:tblGrid>
      <w:tr w:rsidR="00C57BB8" w:rsidRPr="00BE0816" w14:paraId="0E2482E7" w14:textId="77777777" w:rsidTr="003B6C07">
        <w:trPr>
          <w:jc w:val="center"/>
        </w:trPr>
        <w:tc>
          <w:tcPr>
            <w:tcW w:w="2065" w:type="dxa"/>
            <w:shd w:val="clear" w:color="auto" w:fill="DEEAF6" w:themeFill="accent1" w:themeFillTint="33"/>
          </w:tcPr>
          <w:p w14:paraId="7ECC6B25" w14:textId="77777777" w:rsidR="00C57BB8" w:rsidRPr="00BE0816" w:rsidRDefault="00C57BB8" w:rsidP="00F14FE4">
            <w:pPr>
              <w:spacing w:after="60"/>
              <w:rPr>
                <w:rFonts w:ascii="Arial" w:hAnsi="Arial" w:cs="Arial"/>
                <w:sz w:val="20"/>
                <w:szCs w:val="20"/>
              </w:rPr>
            </w:pPr>
            <w:r w:rsidRPr="00BE0816">
              <w:rPr>
                <w:rFonts w:ascii="Arial" w:hAnsi="Arial" w:cs="Arial"/>
                <w:b/>
                <w:sz w:val="20"/>
                <w:szCs w:val="20"/>
              </w:rPr>
              <w:t>NAME</w:t>
            </w:r>
          </w:p>
        </w:tc>
        <w:tc>
          <w:tcPr>
            <w:tcW w:w="4420" w:type="dxa"/>
            <w:shd w:val="clear" w:color="auto" w:fill="DEEAF6" w:themeFill="accent1" w:themeFillTint="33"/>
          </w:tcPr>
          <w:p w14:paraId="0337779C" w14:textId="77777777" w:rsidR="00C57BB8" w:rsidRPr="00BE0816" w:rsidRDefault="00C57BB8" w:rsidP="00F14FE4">
            <w:pPr>
              <w:spacing w:after="60"/>
              <w:rPr>
                <w:rFonts w:ascii="Arial" w:hAnsi="Arial" w:cs="Arial"/>
                <w:sz w:val="20"/>
                <w:szCs w:val="20"/>
              </w:rPr>
            </w:pPr>
            <w:r w:rsidRPr="00BE0816">
              <w:rPr>
                <w:rFonts w:ascii="Arial" w:hAnsi="Arial" w:cs="Arial"/>
                <w:b/>
                <w:sz w:val="20"/>
                <w:szCs w:val="20"/>
              </w:rPr>
              <w:t>ORGANIZATION</w:t>
            </w:r>
          </w:p>
        </w:tc>
        <w:tc>
          <w:tcPr>
            <w:tcW w:w="3815" w:type="dxa"/>
            <w:shd w:val="clear" w:color="auto" w:fill="DEEAF6" w:themeFill="accent1" w:themeFillTint="33"/>
          </w:tcPr>
          <w:p w14:paraId="01F4573E" w14:textId="77777777" w:rsidR="00C57BB8" w:rsidRPr="00BE0816" w:rsidRDefault="00C57BB8" w:rsidP="00F14FE4">
            <w:pPr>
              <w:spacing w:after="60"/>
              <w:rPr>
                <w:rFonts w:ascii="Arial" w:hAnsi="Arial" w:cs="Arial"/>
                <w:sz w:val="20"/>
                <w:szCs w:val="20"/>
              </w:rPr>
            </w:pPr>
            <w:r w:rsidRPr="00BE0816">
              <w:rPr>
                <w:rFonts w:ascii="Arial" w:hAnsi="Arial" w:cs="Arial"/>
                <w:b/>
                <w:sz w:val="20"/>
                <w:szCs w:val="20"/>
              </w:rPr>
              <w:t>POSITION</w:t>
            </w:r>
          </w:p>
        </w:tc>
        <w:tc>
          <w:tcPr>
            <w:tcW w:w="2670" w:type="dxa"/>
            <w:shd w:val="clear" w:color="auto" w:fill="DEEAF6" w:themeFill="accent1" w:themeFillTint="33"/>
          </w:tcPr>
          <w:p w14:paraId="15C3A884" w14:textId="77777777" w:rsidR="00C57BB8" w:rsidRPr="00BE0816" w:rsidRDefault="00C57BB8" w:rsidP="00F14FE4">
            <w:pPr>
              <w:spacing w:after="60"/>
              <w:rPr>
                <w:rFonts w:ascii="Arial" w:hAnsi="Arial" w:cs="Arial"/>
                <w:sz w:val="20"/>
                <w:szCs w:val="20"/>
              </w:rPr>
            </w:pPr>
            <w:r w:rsidRPr="00BE0816">
              <w:rPr>
                <w:rFonts w:ascii="Arial" w:hAnsi="Arial" w:cs="Arial"/>
                <w:b/>
                <w:sz w:val="20"/>
                <w:szCs w:val="20"/>
              </w:rPr>
              <w:t>ROLE</w:t>
            </w:r>
          </w:p>
        </w:tc>
      </w:tr>
      <w:tr w:rsidR="00C57BB8" w:rsidRPr="00BE0816" w14:paraId="4DF8A44D" w14:textId="77777777" w:rsidTr="003B6C07">
        <w:trPr>
          <w:jc w:val="center"/>
        </w:trPr>
        <w:tc>
          <w:tcPr>
            <w:tcW w:w="2065" w:type="dxa"/>
          </w:tcPr>
          <w:p w14:paraId="29BE978D"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Tom Kantz</w:t>
            </w:r>
          </w:p>
        </w:tc>
        <w:tc>
          <w:tcPr>
            <w:tcW w:w="4420" w:type="dxa"/>
          </w:tcPr>
          <w:p w14:paraId="0FC8D662"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Pierce County Surface Water Management</w:t>
            </w:r>
          </w:p>
        </w:tc>
        <w:tc>
          <w:tcPr>
            <w:tcW w:w="3815" w:type="dxa"/>
          </w:tcPr>
          <w:p w14:paraId="26D52CEB"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Watershed Partners Lead</w:t>
            </w:r>
          </w:p>
        </w:tc>
        <w:tc>
          <w:tcPr>
            <w:tcW w:w="2670" w:type="dxa"/>
          </w:tcPr>
          <w:p w14:paraId="5B28F981"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604DC9E5" w14:textId="77777777" w:rsidTr="003B6C07">
        <w:trPr>
          <w:jc w:val="center"/>
        </w:trPr>
        <w:tc>
          <w:tcPr>
            <w:tcW w:w="2065" w:type="dxa"/>
          </w:tcPr>
          <w:p w14:paraId="56C40107"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Scott Steltzner</w:t>
            </w:r>
          </w:p>
        </w:tc>
        <w:tc>
          <w:tcPr>
            <w:tcW w:w="4420" w:type="dxa"/>
          </w:tcPr>
          <w:p w14:paraId="38684854"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Squaxin Island Tribe</w:t>
            </w:r>
          </w:p>
        </w:tc>
        <w:tc>
          <w:tcPr>
            <w:tcW w:w="3815" w:type="dxa"/>
          </w:tcPr>
          <w:p w14:paraId="13AB8FBE"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Research Biologist</w:t>
            </w:r>
          </w:p>
        </w:tc>
        <w:tc>
          <w:tcPr>
            <w:tcW w:w="2670" w:type="dxa"/>
          </w:tcPr>
          <w:p w14:paraId="37B61B9B"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737D2219" w14:textId="77777777" w:rsidTr="003B6C07">
        <w:trPr>
          <w:jc w:val="center"/>
        </w:trPr>
        <w:tc>
          <w:tcPr>
            <w:tcW w:w="2065" w:type="dxa"/>
          </w:tcPr>
          <w:p w14:paraId="23474610"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Allan Warren</w:t>
            </w:r>
          </w:p>
        </w:tc>
        <w:tc>
          <w:tcPr>
            <w:tcW w:w="4420" w:type="dxa"/>
          </w:tcPr>
          <w:p w14:paraId="00578E8F"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Mason Conservation District</w:t>
            </w:r>
          </w:p>
        </w:tc>
        <w:tc>
          <w:tcPr>
            <w:tcW w:w="3815" w:type="dxa"/>
          </w:tcPr>
          <w:p w14:paraId="3A04C703"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Communications &amp; Development Manager</w:t>
            </w:r>
          </w:p>
        </w:tc>
        <w:tc>
          <w:tcPr>
            <w:tcW w:w="2670" w:type="dxa"/>
          </w:tcPr>
          <w:p w14:paraId="6453875F"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05DC8A65" w14:textId="77777777" w:rsidTr="003B6C07">
        <w:trPr>
          <w:jc w:val="center"/>
        </w:trPr>
        <w:tc>
          <w:tcPr>
            <w:tcW w:w="2065" w:type="dxa"/>
          </w:tcPr>
          <w:p w14:paraId="22920A13"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Ray Hanowell</w:t>
            </w:r>
          </w:p>
        </w:tc>
        <w:tc>
          <w:tcPr>
            <w:tcW w:w="4420" w:type="dxa"/>
          </w:tcPr>
          <w:p w14:paraId="57995172"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Tacoma-Pierce County Health District</w:t>
            </w:r>
          </w:p>
        </w:tc>
        <w:tc>
          <w:tcPr>
            <w:tcW w:w="3815" w:type="dxa"/>
          </w:tcPr>
          <w:p w14:paraId="2FD65463"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Environmental Health Specialist</w:t>
            </w:r>
          </w:p>
        </w:tc>
        <w:tc>
          <w:tcPr>
            <w:tcW w:w="2670" w:type="dxa"/>
          </w:tcPr>
          <w:p w14:paraId="4C7028DD"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099F9478" w14:textId="77777777" w:rsidTr="003B6C07">
        <w:trPr>
          <w:jc w:val="center"/>
        </w:trPr>
        <w:tc>
          <w:tcPr>
            <w:tcW w:w="2065" w:type="dxa"/>
          </w:tcPr>
          <w:p w14:paraId="78B5EB93"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Amy Hatch-Wineka</w:t>
            </w:r>
          </w:p>
        </w:tc>
        <w:tc>
          <w:tcPr>
            <w:tcW w:w="4420" w:type="dxa"/>
          </w:tcPr>
          <w:p w14:paraId="761B7104"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Thurston Conservation District</w:t>
            </w:r>
          </w:p>
        </w:tc>
        <w:tc>
          <w:tcPr>
            <w:tcW w:w="3815" w:type="dxa"/>
          </w:tcPr>
          <w:p w14:paraId="15CBA828"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Lead Entity Coordinator</w:t>
            </w:r>
          </w:p>
        </w:tc>
        <w:tc>
          <w:tcPr>
            <w:tcW w:w="2670" w:type="dxa"/>
          </w:tcPr>
          <w:p w14:paraId="40FECA31"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1060F3CF" w14:textId="77777777" w:rsidTr="003B6C07">
        <w:trPr>
          <w:jc w:val="center"/>
        </w:trPr>
        <w:tc>
          <w:tcPr>
            <w:tcW w:w="2065" w:type="dxa"/>
          </w:tcPr>
          <w:p w14:paraId="4A0F6AD4"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Ashley Von Essen</w:t>
            </w:r>
          </w:p>
        </w:tc>
        <w:tc>
          <w:tcPr>
            <w:tcW w:w="4420" w:type="dxa"/>
          </w:tcPr>
          <w:p w14:paraId="4C821970"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Nisqually Tribe</w:t>
            </w:r>
          </w:p>
        </w:tc>
        <w:tc>
          <w:tcPr>
            <w:tcW w:w="3815" w:type="dxa"/>
          </w:tcPr>
          <w:p w14:paraId="3616B009"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Salmon Recovery Coordinator</w:t>
            </w:r>
          </w:p>
        </w:tc>
        <w:tc>
          <w:tcPr>
            <w:tcW w:w="2670" w:type="dxa"/>
          </w:tcPr>
          <w:p w14:paraId="1F6C14A6"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4B16C20F" w14:textId="77777777" w:rsidTr="003B6C07">
        <w:trPr>
          <w:jc w:val="center"/>
        </w:trPr>
        <w:tc>
          <w:tcPr>
            <w:tcW w:w="2065" w:type="dxa"/>
          </w:tcPr>
          <w:p w14:paraId="7275F4F5"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Brad Murphy</w:t>
            </w:r>
          </w:p>
        </w:tc>
        <w:tc>
          <w:tcPr>
            <w:tcW w:w="4420" w:type="dxa"/>
          </w:tcPr>
          <w:p w14:paraId="32435404"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Thurston County</w:t>
            </w:r>
          </w:p>
        </w:tc>
        <w:tc>
          <w:tcPr>
            <w:tcW w:w="3815" w:type="dxa"/>
          </w:tcPr>
          <w:p w14:paraId="5BFADE6A"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Senior Planner</w:t>
            </w:r>
          </w:p>
        </w:tc>
        <w:tc>
          <w:tcPr>
            <w:tcW w:w="2670" w:type="dxa"/>
          </w:tcPr>
          <w:p w14:paraId="423374DB"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28025917" w14:textId="77777777" w:rsidTr="003B6C07">
        <w:trPr>
          <w:jc w:val="center"/>
        </w:trPr>
        <w:tc>
          <w:tcPr>
            <w:tcW w:w="2065" w:type="dxa"/>
          </w:tcPr>
          <w:p w14:paraId="431FA4BF"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Brian Combs</w:t>
            </w:r>
          </w:p>
        </w:tc>
        <w:tc>
          <w:tcPr>
            <w:tcW w:w="4420" w:type="dxa"/>
          </w:tcPr>
          <w:p w14:paraId="3000116C"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South Puget Sound Salmon Enhancement Group</w:t>
            </w:r>
          </w:p>
        </w:tc>
        <w:tc>
          <w:tcPr>
            <w:tcW w:w="3815" w:type="dxa"/>
          </w:tcPr>
          <w:p w14:paraId="0DA93481"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Salmon Habitat Restoration Biologist</w:t>
            </w:r>
          </w:p>
        </w:tc>
        <w:tc>
          <w:tcPr>
            <w:tcW w:w="2670" w:type="dxa"/>
          </w:tcPr>
          <w:p w14:paraId="2F4FEB4B"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79451E5B" w14:textId="77777777" w:rsidTr="003B6C07">
        <w:trPr>
          <w:jc w:val="center"/>
        </w:trPr>
        <w:tc>
          <w:tcPr>
            <w:tcW w:w="2065" w:type="dxa"/>
          </w:tcPr>
          <w:p w14:paraId="7D208DB6"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Chris Ellings</w:t>
            </w:r>
          </w:p>
        </w:tc>
        <w:tc>
          <w:tcPr>
            <w:tcW w:w="4420" w:type="dxa"/>
          </w:tcPr>
          <w:p w14:paraId="64E96E75"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Nisqually Tribe</w:t>
            </w:r>
          </w:p>
        </w:tc>
        <w:tc>
          <w:tcPr>
            <w:tcW w:w="3815" w:type="dxa"/>
          </w:tcPr>
          <w:p w14:paraId="6A3F7BB5"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Salmon Recovery Program Manager</w:t>
            </w:r>
          </w:p>
        </w:tc>
        <w:tc>
          <w:tcPr>
            <w:tcW w:w="2670" w:type="dxa"/>
          </w:tcPr>
          <w:p w14:paraId="2079BC9A"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3492D239" w14:textId="77777777" w:rsidTr="003B6C07">
        <w:trPr>
          <w:jc w:val="center"/>
        </w:trPr>
        <w:tc>
          <w:tcPr>
            <w:tcW w:w="2065" w:type="dxa"/>
          </w:tcPr>
          <w:p w14:paraId="6BAA9506"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Dan Wrye</w:t>
            </w:r>
          </w:p>
        </w:tc>
        <w:tc>
          <w:tcPr>
            <w:tcW w:w="4420" w:type="dxa"/>
          </w:tcPr>
          <w:p w14:paraId="0A23ECB6"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Pierce County Surface Water Management</w:t>
            </w:r>
          </w:p>
        </w:tc>
        <w:tc>
          <w:tcPr>
            <w:tcW w:w="3815" w:type="dxa"/>
          </w:tcPr>
          <w:p w14:paraId="1F3CBA64"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Water Quality &amp; Watersheds Section Supervisor</w:t>
            </w:r>
          </w:p>
        </w:tc>
        <w:tc>
          <w:tcPr>
            <w:tcW w:w="2670" w:type="dxa"/>
          </w:tcPr>
          <w:p w14:paraId="77C7519C"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1483ED45" w14:textId="77777777" w:rsidTr="003B6C07">
        <w:trPr>
          <w:jc w:val="center"/>
        </w:trPr>
        <w:tc>
          <w:tcPr>
            <w:tcW w:w="2065" w:type="dxa"/>
          </w:tcPr>
          <w:p w14:paraId="7F97949E"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Evan Bauder</w:t>
            </w:r>
          </w:p>
        </w:tc>
        <w:tc>
          <w:tcPr>
            <w:tcW w:w="4420" w:type="dxa"/>
          </w:tcPr>
          <w:p w14:paraId="752D6F46"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Mason Conservation District</w:t>
            </w:r>
          </w:p>
        </w:tc>
        <w:tc>
          <w:tcPr>
            <w:tcW w:w="3815" w:type="dxa"/>
          </w:tcPr>
          <w:p w14:paraId="6B12D6A0"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Habitat Program Manager</w:t>
            </w:r>
          </w:p>
        </w:tc>
        <w:tc>
          <w:tcPr>
            <w:tcW w:w="2670" w:type="dxa"/>
          </w:tcPr>
          <w:p w14:paraId="4CC09E40"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6C3E559A" w14:textId="77777777" w:rsidTr="003B6C07">
        <w:trPr>
          <w:jc w:val="center"/>
        </w:trPr>
        <w:tc>
          <w:tcPr>
            <w:tcW w:w="2065" w:type="dxa"/>
          </w:tcPr>
          <w:p w14:paraId="243238C0"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Stephanie Suter</w:t>
            </w:r>
          </w:p>
        </w:tc>
        <w:tc>
          <w:tcPr>
            <w:tcW w:w="4420" w:type="dxa"/>
          </w:tcPr>
          <w:p w14:paraId="35B7D892"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Puget Sound Partnership</w:t>
            </w:r>
          </w:p>
        </w:tc>
        <w:tc>
          <w:tcPr>
            <w:tcW w:w="3815" w:type="dxa"/>
          </w:tcPr>
          <w:p w14:paraId="68FC2311"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Regional Manager</w:t>
            </w:r>
          </w:p>
        </w:tc>
        <w:tc>
          <w:tcPr>
            <w:tcW w:w="2670" w:type="dxa"/>
          </w:tcPr>
          <w:p w14:paraId="2BDA2EB3"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6934924A" w14:textId="77777777" w:rsidTr="003B6C07">
        <w:trPr>
          <w:trHeight w:val="260"/>
          <w:jc w:val="center"/>
        </w:trPr>
        <w:tc>
          <w:tcPr>
            <w:tcW w:w="2065" w:type="dxa"/>
          </w:tcPr>
          <w:p w14:paraId="2E66E736"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Jesse Barham</w:t>
            </w:r>
          </w:p>
        </w:tc>
        <w:tc>
          <w:tcPr>
            <w:tcW w:w="4420" w:type="dxa"/>
          </w:tcPr>
          <w:p w14:paraId="3CC0DC9B"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City of Olympia</w:t>
            </w:r>
          </w:p>
        </w:tc>
        <w:tc>
          <w:tcPr>
            <w:tcW w:w="3815" w:type="dxa"/>
          </w:tcPr>
          <w:p w14:paraId="4DDC05EB"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Habitat Coordinator</w:t>
            </w:r>
          </w:p>
        </w:tc>
        <w:tc>
          <w:tcPr>
            <w:tcW w:w="2670" w:type="dxa"/>
          </w:tcPr>
          <w:p w14:paraId="0CDBD986"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5DBEED9A" w14:textId="77777777" w:rsidTr="003B6C07">
        <w:trPr>
          <w:jc w:val="center"/>
        </w:trPr>
        <w:tc>
          <w:tcPr>
            <w:tcW w:w="2065" w:type="dxa"/>
          </w:tcPr>
          <w:p w14:paraId="20DD0BF5"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Justin Hall</w:t>
            </w:r>
          </w:p>
        </w:tc>
        <w:tc>
          <w:tcPr>
            <w:tcW w:w="4420" w:type="dxa"/>
          </w:tcPr>
          <w:p w14:paraId="5B207F22"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Nisqually River Foundation</w:t>
            </w:r>
          </w:p>
        </w:tc>
        <w:tc>
          <w:tcPr>
            <w:tcW w:w="3815" w:type="dxa"/>
          </w:tcPr>
          <w:p w14:paraId="08BA1FFC"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Executive Director</w:t>
            </w:r>
          </w:p>
        </w:tc>
        <w:tc>
          <w:tcPr>
            <w:tcW w:w="2670" w:type="dxa"/>
          </w:tcPr>
          <w:p w14:paraId="6769B7D9"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29C88A81" w14:textId="77777777" w:rsidTr="003B6C07">
        <w:trPr>
          <w:jc w:val="center"/>
        </w:trPr>
        <w:tc>
          <w:tcPr>
            <w:tcW w:w="2065" w:type="dxa"/>
          </w:tcPr>
          <w:p w14:paraId="00AE0AC2"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Kathy Peters</w:t>
            </w:r>
          </w:p>
        </w:tc>
        <w:tc>
          <w:tcPr>
            <w:tcW w:w="4420" w:type="dxa"/>
          </w:tcPr>
          <w:p w14:paraId="2FDF77D7"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Kitsap County</w:t>
            </w:r>
          </w:p>
        </w:tc>
        <w:tc>
          <w:tcPr>
            <w:tcW w:w="3815" w:type="dxa"/>
          </w:tcPr>
          <w:p w14:paraId="2B0531E6"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Biologist and Salmon Recovery Coordinator</w:t>
            </w:r>
          </w:p>
        </w:tc>
        <w:tc>
          <w:tcPr>
            <w:tcW w:w="2670" w:type="dxa"/>
          </w:tcPr>
          <w:p w14:paraId="01580BC7"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6D36A0D9" w14:textId="77777777" w:rsidTr="003B6C07">
        <w:trPr>
          <w:jc w:val="center"/>
        </w:trPr>
        <w:tc>
          <w:tcPr>
            <w:tcW w:w="2065" w:type="dxa"/>
          </w:tcPr>
          <w:p w14:paraId="0D763159"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Kristin Williamson</w:t>
            </w:r>
          </w:p>
        </w:tc>
        <w:tc>
          <w:tcPr>
            <w:tcW w:w="4420" w:type="dxa"/>
          </w:tcPr>
          <w:p w14:paraId="0A4FECB1"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South Puget Sound Salmon Enhancement Group</w:t>
            </w:r>
          </w:p>
        </w:tc>
        <w:tc>
          <w:tcPr>
            <w:tcW w:w="3815" w:type="dxa"/>
          </w:tcPr>
          <w:p w14:paraId="3737EF1C"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Habitat Restoration Biologist</w:t>
            </w:r>
          </w:p>
        </w:tc>
        <w:tc>
          <w:tcPr>
            <w:tcW w:w="2670" w:type="dxa"/>
          </w:tcPr>
          <w:p w14:paraId="77DCD079"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53B8F1DA" w14:textId="77777777" w:rsidTr="003B6C07">
        <w:trPr>
          <w:jc w:val="center"/>
        </w:trPr>
        <w:tc>
          <w:tcPr>
            <w:tcW w:w="2065" w:type="dxa"/>
          </w:tcPr>
          <w:p w14:paraId="63C59E70"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Merita Trohimovich</w:t>
            </w:r>
          </w:p>
        </w:tc>
        <w:tc>
          <w:tcPr>
            <w:tcW w:w="4420" w:type="dxa"/>
          </w:tcPr>
          <w:p w14:paraId="2F5C2766"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City of Tacoma</w:t>
            </w:r>
          </w:p>
        </w:tc>
        <w:tc>
          <w:tcPr>
            <w:tcW w:w="3815" w:type="dxa"/>
          </w:tcPr>
          <w:p w14:paraId="7D603F6E"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Surface Water Engineer</w:t>
            </w:r>
          </w:p>
        </w:tc>
        <w:tc>
          <w:tcPr>
            <w:tcW w:w="2670" w:type="dxa"/>
          </w:tcPr>
          <w:p w14:paraId="706E54D2"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3295F84F" w14:textId="77777777" w:rsidTr="003B6C07">
        <w:trPr>
          <w:jc w:val="center"/>
        </w:trPr>
        <w:tc>
          <w:tcPr>
            <w:tcW w:w="2065" w:type="dxa"/>
          </w:tcPr>
          <w:p w14:paraId="792311E2"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Ilon Logan</w:t>
            </w:r>
          </w:p>
        </w:tc>
        <w:tc>
          <w:tcPr>
            <w:tcW w:w="4420" w:type="dxa"/>
          </w:tcPr>
          <w:p w14:paraId="5171F533"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ESA</w:t>
            </w:r>
          </w:p>
        </w:tc>
        <w:tc>
          <w:tcPr>
            <w:tcW w:w="3815" w:type="dxa"/>
          </w:tcPr>
          <w:p w14:paraId="1BD88729"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Resource Policy Program Manager</w:t>
            </w:r>
          </w:p>
        </w:tc>
        <w:tc>
          <w:tcPr>
            <w:tcW w:w="2670" w:type="dxa"/>
          </w:tcPr>
          <w:p w14:paraId="5CC5FD5E"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Contractor</w:t>
            </w:r>
          </w:p>
        </w:tc>
      </w:tr>
      <w:tr w:rsidR="00C57BB8" w:rsidRPr="00BE0816" w14:paraId="2D5EE232" w14:textId="77777777" w:rsidTr="003B6C07">
        <w:trPr>
          <w:jc w:val="center"/>
        </w:trPr>
        <w:tc>
          <w:tcPr>
            <w:tcW w:w="2065" w:type="dxa"/>
          </w:tcPr>
          <w:p w14:paraId="3E63BD86"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Mike Leech</w:t>
            </w:r>
          </w:p>
        </w:tc>
        <w:tc>
          <w:tcPr>
            <w:tcW w:w="4420" w:type="dxa"/>
          </w:tcPr>
          <w:p w14:paraId="136A9AD2"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ESA</w:t>
            </w:r>
          </w:p>
        </w:tc>
        <w:tc>
          <w:tcPr>
            <w:tcW w:w="3815" w:type="dxa"/>
          </w:tcPr>
          <w:p w14:paraId="7BC2154B"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 xml:space="preserve">Director of Geospatial Services </w:t>
            </w:r>
          </w:p>
        </w:tc>
        <w:tc>
          <w:tcPr>
            <w:tcW w:w="2670" w:type="dxa"/>
          </w:tcPr>
          <w:p w14:paraId="5FB7E87D"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Contractor</w:t>
            </w:r>
          </w:p>
        </w:tc>
      </w:tr>
      <w:tr w:rsidR="00C57BB8" w:rsidRPr="00BE0816" w14:paraId="54870914" w14:textId="77777777" w:rsidTr="003B6C07">
        <w:trPr>
          <w:jc w:val="center"/>
        </w:trPr>
        <w:tc>
          <w:tcPr>
            <w:tcW w:w="2065" w:type="dxa"/>
          </w:tcPr>
          <w:p w14:paraId="2C186963"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Elizabeth McManus</w:t>
            </w:r>
          </w:p>
        </w:tc>
        <w:tc>
          <w:tcPr>
            <w:tcW w:w="4420" w:type="dxa"/>
          </w:tcPr>
          <w:p w14:paraId="3F8FD0E8"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Ross Strategic</w:t>
            </w:r>
          </w:p>
        </w:tc>
        <w:tc>
          <w:tcPr>
            <w:tcW w:w="3815" w:type="dxa"/>
          </w:tcPr>
          <w:p w14:paraId="0B4E3B3C"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LIO Coordinator</w:t>
            </w:r>
          </w:p>
        </w:tc>
        <w:tc>
          <w:tcPr>
            <w:tcW w:w="2670" w:type="dxa"/>
          </w:tcPr>
          <w:p w14:paraId="5343364D"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r w:rsidR="00C57BB8" w:rsidRPr="00BE0816" w14:paraId="3DCCBC7E" w14:textId="77777777" w:rsidTr="003B6C07">
        <w:trPr>
          <w:jc w:val="center"/>
        </w:trPr>
        <w:tc>
          <w:tcPr>
            <w:tcW w:w="2065" w:type="dxa"/>
          </w:tcPr>
          <w:p w14:paraId="5B742DB0"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Andy Chinn</w:t>
            </w:r>
          </w:p>
        </w:tc>
        <w:tc>
          <w:tcPr>
            <w:tcW w:w="4420" w:type="dxa"/>
          </w:tcPr>
          <w:p w14:paraId="1309A895"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Ross Strategic</w:t>
            </w:r>
          </w:p>
        </w:tc>
        <w:tc>
          <w:tcPr>
            <w:tcW w:w="3815" w:type="dxa"/>
          </w:tcPr>
          <w:p w14:paraId="74952854"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LIO Coordinator</w:t>
            </w:r>
          </w:p>
        </w:tc>
        <w:tc>
          <w:tcPr>
            <w:tcW w:w="2670" w:type="dxa"/>
          </w:tcPr>
          <w:p w14:paraId="1939144E"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Technical Team Member</w:t>
            </w:r>
          </w:p>
        </w:tc>
      </w:tr>
    </w:tbl>
    <w:p w14:paraId="65FDEE14" w14:textId="77777777" w:rsidR="00C57BB8" w:rsidRDefault="00C57BB8" w:rsidP="00C57BB8">
      <w:pPr>
        <w:spacing w:after="0" w:line="240" w:lineRule="auto"/>
        <w:rPr>
          <w:rFonts w:ascii="Arial" w:eastAsia="Times New Roman" w:hAnsi="Arial" w:cs="Arial"/>
          <w:sz w:val="20"/>
          <w:szCs w:val="20"/>
        </w:rPr>
      </w:pPr>
      <w:r w:rsidRPr="00BC7240">
        <w:rPr>
          <w:rFonts w:ascii="Arial" w:eastAsia="Times New Roman" w:hAnsi="Arial" w:cs="Arial"/>
          <w:color w:val="000000"/>
          <w:sz w:val="20"/>
          <w:szCs w:val="20"/>
        </w:rPr>
        <w:lastRenderedPageBreak/>
        <w:br/>
      </w:r>
      <w:r w:rsidRPr="00BC7240">
        <w:rPr>
          <w:rFonts w:ascii="Arial" w:eastAsia="Times New Roman" w:hAnsi="Arial" w:cs="Arial"/>
          <w:sz w:val="20"/>
          <w:szCs w:val="20"/>
        </w:rPr>
        <w:t>Final decision-making on the recovery plan was the responsibility of the AHSS Executive Committee.</w:t>
      </w:r>
    </w:p>
    <w:p w14:paraId="41FED1CC" w14:textId="2D495E13" w:rsidR="00BC7240" w:rsidRDefault="00BC7240" w:rsidP="00B968DB">
      <w:pPr>
        <w:spacing w:after="0" w:line="240" w:lineRule="auto"/>
        <w:rPr>
          <w:rFonts w:ascii="Arial" w:eastAsia="Times New Roman" w:hAnsi="Arial" w:cs="Arial"/>
          <w:sz w:val="20"/>
          <w:szCs w:val="20"/>
        </w:rPr>
      </w:pPr>
    </w:p>
    <w:tbl>
      <w:tblPr>
        <w:tblW w:w="12970" w:type="dxa"/>
        <w:jc w:val="center"/>
        <w:tblBorders>
          <w:top w:val="single" w:sz="4" w:space="0" w:color="1F4E79" w:themeColor="accent1" w:themeShade="80"/>
          <w:left w:val="single" w:sz="4" w:space="0" w:color="1F4E79" w:themeColor="accent1" w:themeShade="80"/>
          <w:bottom w:val="single" w:sz="4" w:space="0" w:color="1F4E79" w:themeColor="accent1" w:themeShade="80"/>
          <w:right w:val="single" w:sz="4" w:space="0" w:color="1F4E79" w:themeColor="accent1" w:themeShade="80"/>
          <w:insideH w:val="single" w:sz="4" w:space="0" w:color="1F4E79" w:themeColor="accent1" w:themeShade="80"/>
          <w:insideV w:val="single" w:sz="4" w:space="0" w:color="1F4E79" w:themeColor="accent1" w:themeShade="80"/>
        </w:tblBorders>
        <w:tblLayout w:type="fixed"/>
        <w:tblLook w:val="0400" w:firstRow="0" w:lastRow="0" w:firstColumn="0" w:lastColumn="0" w:noHBand="0" w:noVBand="1"/>
      </w:tblPr>
      <w:tblGrid>
        <w:gridCol w:w="2065"/>
        <w:gridCol w:w="4420"/>
        <w:gridCol w:w="3815"/>
        <w:gridCol w:w="2670"/>
      </w:tblGrid>
      <w:tr w:rsidR="00C57BB8" w:rsidRPr="00BE0816" w14:paraId="0708C2BD" w14:textId="77777777" w:rsidTr="003B6C07">
        <w:trPr>
          <w:jc w:val="center"/>
        </w:trPr>
        <w:tc>
          <w:tcPr>
            <w:tcW w:w="2065" w:type="dxa"/>
            <w:shd w:val="clear" w:color="auto" w:fill="DEEAF6" w:themeFill="accent1" w:themeFillTint="33"/>
          </w:tcPr>
          <w:p w14:paraId="06BD4D2C" w14:textId="77777777" w:rsidR="00C57BB8" w:rsidRPr="00BE0816" w:rsidRDefault="00C57BB8" w:rsidP="00F14FE4">
            <w:pPr>
              <w:spacing w:after="60"/>
              <w:rPr>
                <w:rFonts w:ascii="Arial" w:hAnsi="Arial" w:cs="Arial"/>
                <w:sz w:val="20"/>
                <w:szCs w:val="20"/>
              </w:rPr>
            </w:pPr>
            <w:r w:rsidRPr="00BE0816">
              <w:rPr>
                <w:rFonts w:ascii="Arial" w:hAnsi="Arial" w:cs="Arial"/>
                <w:b/>
                <w:sz w:val="20"/>
                <w:szCs w:val="20"/>
              </w:rPr>
              <w:t>NAME</w:t>
            </w:r>
          </w:p>
        </w:tc>
        <w:tc>
          <w:tcPr>
            <w:tcW w:w="4420" w:type="dxa"/>
            <w:shd w:val="clear" w:color="auto" w:fill="DEEAF6" w:themeFill="accent1" w:themeFillTint="33"/>
          </w:tcPr>
          <w:p w14:paraId="27464AAE" w14:textId="77777777" w:rsidR="00C57BB8" w:rsidRPr="00BE0816" w:rsidRDefault="00C57BB8" w:rsidP="00F14FE4">
            <w:pPr>
              <w:spacing w:after="60"/>
              <w:rPr>
                <w:rFonts w:ascii="Arial" w:hAnsi="Arial" w:cs="Arial"/>
                <w:sz w:val="20"/>
                <w:szCs w:val="20"/>
              </w:rPr>
            </w:pPr>
            <w:r w:rsidRPr="00BE0816">
              <w:rPr>
                <w:rFonts w:ascii="Arial" w:hAnsi="Arial" w:cs="Arial"/>
                <w:b/>
                <w:sz w:val="20"/>
                <w:szCs w:val="20"/>
              </w:rPr>
              <w:t>ORGANIZATION</w:t>
            </w:r>
          </w:p>
        </w:tc>
        <w:tc>
          <w:tcPr>
            <w:tcW w:w="3815" w:type="dxa"/>
            <w:shd w:val="clear" w:color="auto" w:fill="DEEAF6" w:themeFill="accent1" w:themeFillTint="33"/>
          </w:tcPr>
          <w:p w14:paraId="4EABC9CE" w14:textId="77777777" w:rsidR="00C57BB8" w:rsidRPr="00BE0816" w:rsidRDefault="00C57BB8" w:rsidP="00F14FE4">
            <w:pPr>
              <w:spacing w:after="60"/>
              <w:rPr>
                <w:rFonts w:ascii="Arial" w:hAnsi="Arial" w:cs="Arial"/>
                <w:sz w:val="20"/>
                <w:szCs w:val="20"/>
              </w:rPr>
            </w:pPr>
            <w:r w:rsidRPr="00BE0816">
              <w:rPr>
                <w:rFonts w:ascii="Arial" w:hAnsi="Arial" w:cs="Arial"/>
                <w:b/>
                <w:sz w:val="20"/>
                <w:szCs w:val="20"/>
              </w:rPr>
              <w:t>POSITION</w:t>
            </w:r>
          </w:p>
        </w:tc>
        <w:tc>
          <w:tcPr>
            <w:tcW w:w="2670" w:type="dxa"/>
            <w:shd w:val="clear" w:color="auto" w:fill="DEEAF6" w:themeFill="accent1" w:themeFillTint="33"/>
          </w:tcPr>
          <w:p w14:paraId="2F69C073" w14:textId="77777777" w:rsidR="00C57BB8" w:rsidRPr="00BE0816" w:rsidRDefault="00C57BB8" w:rsidP="00F14FE4">
            <w:pPr>
              <w:spacing w:after="60"/>
              <w:rPr>
                <w:rFonts w:ascii="Arial" w:hAnsi="Arial" w:cs="Arial"/>
                <w:sz w:val="20"/>
                <w:szCs w:val="20"/>
              </w:rPr>
            </w:pPr>
            <w:r w:rsidRPr="00BE0816">
              <w:rPr>
                <w:rFonts w:ascii="Arial" w:hAnsi="Arial" w:cs="Arial"/>
                <w:b/>
                <w:sz w:val="20"/>
                <w:szCs w:val="20"/>
              </w:rPr>
              <w:t>ROLE</w:t>
            </w:r>
          </w:p>
        </w:tc>
      </w:tr>
      <w:tr w:rsidR="00C57BB8" w:rsidRPr="00BE0816" w14:paraId="566A4DBF" w14:textId="77777777" w:rsidTr="003B6C07">
        <w:trPr>
          <w:jc w:val="center"/>
        </w:trPr>
        <w:tc>
          <w:tcPr>
            <w:tcW w:w="2065" w:type="dxa"/>
          </w:tcPr>
          <w:p w14:paraId="762380A8" w14:textId="77777777" w:rsidR="00C57BB8" w:rsidRPr="00BE0816" w:rsidRDefault="00C57BB8" w:rsidP="00F14FE4">
            <w:pPr>
              <w:spacing w:after="60"/>
              <w:rPr>
                <w:rFonts w:ascii="Arial" w:hAnsi="Arial" w:cs="Arial"/>
                <w:sz w:val="20"/>
                <w:szCs w:val="20"/>
              </w:rPr>
            </w:pPr>
            <w:r>
              <w:rPr>
                <w:rFonts w:ascii="Arial" w:hAnsi="Arial" w:cs="Arial"/>
                <w:sz w:val="20"/>
                <w:szCs w:val="20"/>
              </w:rPr>
              <w:t>Randy Neatherlin</w:t>
            </w:r>
          </w:p>
        </w:tc>
        <w:tc>
          <w:tcPr>
            <w:tcW w:w="4420" w:type="dxa"/>
          </w:tcPr>
          <w:p w14:paraId="4B0BAF7B" w14:textId="77777777" w:rsidR="00C57BB8" w:rsidRPr="00BE0816" w:rsidRDefault="00C57BB8" w:rsidP="00F14FE4">
            <w:pPr>
              <w:spacing w:after="60"/>
              <w:rPr>
                <w:rFonts w:ascii="Arial" w:hAnsi="Arial" w:cs="Arial"/>
                <w:sz w:val="20"/>
                <w:szCs w:val="20"/>
              </w:rPr>
            </w:pPr>
            <w:r>
              <w:rPr>
                <w:rFonts w:ascii="Arial" w:hAnsi="Arial" w:cs="Arial"/>
                <w:sz w:val="20"/>
                <w:szCs w:val="20"/>
              </w:rPr>
              <w:t>Mason County</w:t>
            </w:r>
          </w:p>
        </w:tc>
        <w:tc>
          <w:tcPr>
            <w:tcW w:w="3815" w:type="dxa"/>
          </w:tcPr>
          <w:p w14:paraId="1A57E4AB" w14:textId="77777777" w:rsidR="00C57BB8" w:rsidRPr="00BE0816" w:rsidRDefault="00C57BB8" w:rsidP="00F14FE4">
            <w:pPr>
              <w:spacing w:after="60"/>
              <w:rPr>
                <w:rFonts w:ascii="Arial" w:hAnsi="Arial" w:cs="Arial"/>
                <w:sz w:val="20"/>
                <w:szCs w:val="20"/>
              </w:rPr>
            </w:pPr>
            <w:r>
              <w:rPr>
                <w:rFonts w:ascii="Arial" w:hAnsi="Arial" w:cs="Arial"/>
                <w:sz w:val="20"/>
                <w:szCs w:val="20"/>
              </w:rPr>
              <w:t>County Commissioner</w:t>
            </w:r>
          </w:p>
        </w:tc>
        <w:tc>
          <w:tcPr>
            <w:tcW w:w="2670" w:type="dxa"/>
          </w:tcPr>
          <w:p w14:paraId="38EC2593" w14:textId="77777777" w:rsidR="00C57BB8" w:rsidRPr="00BE0816" w:rsidRDefault="00C57BB8" w:rsidP="00F14FE4">
            <w:pPr>
              <w:spacing w:after="60"/>
              <w:rPr>
                <w:rFonts w:ascii="Arial" w:hAnsi="Arial" w:cs="Arial"/>
                <w:sz w:val="20"/>
                <w:szCs w:val="20"/>
              </w:rPr>
            </w:pPr>
            <w:r>
              <w:rPr>
                <w:rFonts w:ascii="Arial" w:hAnsi="Arial" w:cs="Arial"/>
                <w:sz w:val="20"/>
                <w:szCs w:val="20"/>
              </w:rPr>
              <w:t>Executive Committee Chair</w:t>
            </w:r>
          </w:p>
        </w:tc>
      </w:tr>
      <w:tr w:rsidR="00C57BB8" w:rsidRPr="00BE0816" w14:paraId="1E5BF205" w14:textId="77777777" w:rsidTr="003B6C07">
        <w:trPr>
          <w:jc w:val="center"/>
        </w:trPr>
        <w:tc>
          <w:tcPr>
            <w:tcW w:w="2065" w:type="dxa"/>
          </w:tcPr>
          <w:p w14:paraId="47356DF4" w14:textId="77777777" w:rsidR="00C57BB8" w:rsidRPr="00BE0816" w:rsidRDefault="00C57BB8" w:rsidP="00F14FE4">
            <w:pPr>
              <w:spacing w:after="60"/>
              <w:rPr>
                <w:rFonts w:ascii="Arial" w:hAnsi="Arial" w:cs="Arial"/>
                <w:sz w:val="20"/>
                <w:szCs w:val="20"/>
              </w:rPr>
            </w:pPr>
            <w:r>
              <w:rPr>
                <w:rFonts w:ascii="Arial" w:hAnsi="Arial" w:cs="Arial"/>
                <w:sz w:val="20"/>
                <w:szCs w:val="20"/>
              </w:rPr>
              <w:t>Jeff Dickison</w:t>
            </w:r>
          </w:p>
        </w:tc>
        <w:tc>
          <w:tcPr>
            <w:tcW w:w="4420" w:type="dxa"/>
          </w:tcPr>
          <w:p w14:paraId="67C8141D"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Squaxin Island Tribe</w:t>
            </w:r>
          </w:p>
        </w:tc>
        <w:tc>
          <w:tcPr>
            <w:tcW w:w="3815" w:type="dxa"/>
          </w:tcPr>
          <w:p w14:paraId="01B87AA6" w14:textId="77777777" w:rsidR="00C57BB8" w:rsidRPr="00BE0816" w:rsidRDefault="00C57BB8" w:rsidP="00F14FE4">
            <w:pPr>
              <w:spacing w:after="60"/>
              <w:rPr>
                <w:rFonts w:ascii="Arial" w:hAnsi="Arial" w:cs="Arial"/>
                <w:sz w:val="20"/>
                <w:szCs w:val="20"/>
              </w:rPr>
            </w:pPr>
            <w:r>
              <w:rPr>
                <w:rFonts w:ascii="Arial" w:hAnsi="Arial" w:cs="Arial"/>
                <w:sz w:val="20"/>
                <w:szCs w:val="20"/>
              </w:rPr>
              <w:t>Natural Resources Director</w:t>
            </w:r>
          </w:p>
        </w:tc>
        <w:tc>
          <w:tcPr>
            <w:tcW w:w="2670" w:type="dxa"/>
          </w:tcPr>
          <w:p w14:paraId="1D45EB2D" w14:textId="77777777" w:rsidR="00C57BB8" w:rsidRPr="00BE0816" w:rsidRDefault="00C57BB8" w:rsidP="00F14FE4">
            <w:pPr>
              <w:spacing w:after="60"/>
              <w:rPr>
                <w:rFonts w:ascii="Arial" w:hAnsi="Arial" w:cs="Arial"/>
                <w:sz w:val="20"/>
                <w:szCs w:val="20"/>
              </w:rPr>
            </w:pPr>
            <w:r>
              <w:rPr>
                <w:rFonts w:ascii="Arial" w:hAnsi="Arial" w:cs="Arial"/>
                <w:sz w:val="20"/>
                <w:szCs w:val="20"/>
              </w:rPr>
              <w:t>Executive Committee Vice-Chair</w:t>
            </w:r>
          </w:p>
        </w:tc>
      </w:tr>
      <w:tr w:rsidR="00C57BB8" w:rsidRPr="00BE0816" w14:paraId="23F94A2E" w14:textId="77777777" w:rsidTr="003B6C07">
        <w:trPr>
          <w:jc w:val="center"/>
        </w:trPr>
        <w:tc>
          <w:tcPr>
            <w:tcW w:w="2065" w:type="dxa"/>
          </w:tcPr>
          <w:p w14:paraId="48607E09" w14:textId="77777777" w:rsidR="00C57BB8" w:rsidRDefault="00C57BB8" w:rsidP="00F14FE4">
            <w:pPr>
              <w:spacing w:after="60"/>
              <w:rPr>
                <w:rFonts w:ascii="Arial" w:hAnsi="Arial" w:cs="Arial"/>
                <w:sz w:val="20"/>
                <w:szCs w:val="20"/>
              </w:rPr>
            </w:pPr>
            <w:r>
              <w:rPr>
                <w:rFonts w:ascii="Arial" w:hAnsi="Arial" w:cs="Arial"/>
                <w:sz w:val="20"/>
                <w:szCs w:val="20"/>
              </w:rPr>
              <w:t>Bud Blake</w:t>
            </w:r>
          </w:p>
        </w:tc>
        <w:tc>
          <w:tcPr>
            <w:tcW w:w="4420" w:type="dxa"/>
          </w:tcPr>
          <w:p w14:paraId="38CFFF67" w14:textId="77777777" w:rsidR="00C57BB8" w:rsidRPr="00BE0816" w:rsidRDefault="00C57BB8" w:rsidP="00F14FE4">
            <w:pPr>
              <w:spacing w:after="60"/>
              <w:rPr>
                <w:rFonts w:ascii="Arial" w:hAnsi="Arial" w:cs="Arial"/>
                <w:sz w:val="20"/>
                <w:szCs w:val="20"/>
              </w:rPr>
            </w:pPr>
            <w:r>
              <w:rPr>
                <w:rFonts w:ascii="Arial" w:hAnsi="Arial" w:cs="Arial"/>
                <w:sz w:val="20"/>
                <w:szCs w:val="20"/>
              </w:rPr>
              <w:t>Thurston County</w:t>
            </w:r>
          </w:p>
        </w:tc>
        <w:tc>
          <w:tcPr>
            <w:tcW w:w="3815" w:type="dxa"/>
          </w:tcPr>
          <w:p w14:paraId="1E85EDFC" w14:textId="77777777" w:rsidR="00C57BB8" w:rsidRDefault="00C57BB8" w:rsidP="00F14FE4">
            <w:pPr>
              <w:spacing w:after="60"/>
              <w:rPr>
                <w:rFonts w:ascii="Arial" w:hAnsi="Arial" w:cs="Arial"/>
                <w:sz w:val="20"/>
                <w:szCs w:val="20"/>
              </w:rPr>
            </w:pPr>
            <w:r>
              <w:rPr>
                <w:rFonts w:ascii="Arial" w:hAnsi="Arial" w:cs="Arial"/>
                <w:sz w:val="20"/>
                <w:szCs w:val="20"/>
              </w:rPr>
              <w:t>County Commissioner</w:t>
            </w:r>
          </w:p>
        </w:tc>
        <w:tc>
          <w:tcPr>
            <w:tcW w:w="2670" w:type="dxa"/>
          </w:tcPr>
          <w:p w14:paraId="13078EAD" w14:textId="77777777" w:rsidR="00C57BB8" w:rsidRDefault="00C57BB8" w:rsidP="00F14FE4">
            <w:pPr>
              <w:spacing w:after="60"/>
              <w:rPr>
                <w:rFonts w:ascii="Arial" w:hAnsi="Arial" w:cs="Arial"/>
                <w:sz w:val="20"/>
                <w:szCs w:val="20"/>
              </w:rPr>
            </w:pPr>
            <w:r>
              <w:rPr>
                <w:rFonts w:ascii="Arial" w:hAnsi="Arial" w:cs="Arial"/>
                <w:sz w:val="20"/>
                <w:szCs w:val="20"/>
              </w:rPr>
              <w:t>Executive Committee Member</w:t>
            </w:r>
          </w:p>
        </w:tc>
      </w:tr>
      <w:tr w:rsidR="00C57BB8" w:rsidRPr="00BE0816" w14:paraId="203D760E" w14:textId="77777777" w:rsidTr="003B6C07">
        <w:trPr>
          <w:jc w:val="center"/>
        </w:trPr>
        <w:tc>
          <w:tcPr>
            <w:tcW w:w="2065" w:type="dxa"/>
          </w:tcPr>
          <w:p w14:paraId="2D9F9D8E" w14:textId="77777777" w:rsidR="00C57BB8" w:rsidRDefault="00C57BB8" w:rsidP="00F14FE4">
            <w:pPr>
              <w:spacing w:after="60"/>
              <w:rPr>
                <w:rFonts w:ascii="Arial" w:hAnsi="Arial" w:cs="Arial"/>
                <w:sz w:val="20"/>
                <w:szCs w:val="20"/>
              </w:rPr>
            </w:pPr>
            <w:r>
              <w:rPr>
                <w:rFonts w:ascii="Arial" w:hAnsi="Arial" w:cs="Arial"/>
                <w:sz w:val="20"/>
                <w:szCs w:val="20"/>
              </w:rPr>
              <w:t>Pat McCarthy</w:t>
            </w:r>
          </w:p>
        </w:tc>
        <w:tc>
          <w:tcPr>
            <w:tcW w:w="4420" w:type="dxa"/>
          </w:tcPr>
          <w:p w14:paraId="5F6C1811" w14:textId="77777777" w:rsidR="00C57BB8" w:rsidRDefault="00C57BB8" w:rsidP="00F14FE4">
            <w:pPr>
              <w:spacing w:after="60"/>
              <w:rPr>
                <w:rFonts w:ascii="Arial" w:hAnsi="Arial" w:cs="Arial"/>
                <w:sz w:val="20"/>
                <w:szCs w:val="20"/>
              </w:rPr>
            </w:pPr>
            <w:r>
              <w:rPr>
                <w:rFonts w:ascii="Arial" w:hAnsi="Arial" w:cs="Arial"/>
                <w:sz w:val="20"/>
                <w:szCs w:val="20"/>
              </w:rPr>
              <w:t>Pierce County</w:t>
            </w:r>
          </w:p>
        </w:tc>
        <w:tc>
          <w:tcPr>
            <w:tcW w:w="3815" w:type="dxa"/>
          </w:tcPr>
          <w:p w14:paraId="50E428F4" w14:textId="77777777" w:rsidR="00C57BB8" w:rsidRDefault="00C57BB8" w:rsidP="00F14FE4">
            <w:pPr>
              <w:spacing w:after="60"/>
              <w:rPr>
                <w:rFonts w:ascii="Arial" w:hAnsi="Arial" w:cs="Arial"/>
                <w:sz w:val="20"/>
                <w:szCs w:val="20"/>
              </w:rPr>
            </w:pPr>
            <w:r>
              <w:rPr>
                <w:rFonts w:ascii="Arial" w:hAnsi="Arial" w:cs="Arial"/>
                <w:sz w:val="20"/>
                <w:szCs w:val="20"/>
              </w:rPr>
              <w:t>Pierce County Executive</w:t>
            </w:r>
          </w:p>
        </w:tc>
        <w:tc>
          <w:tcPr>
            <w:tcW w:w="2670" w:type="dxa"/>
          </w:tcPr>
          <w:p w14:paraId="5C03FE3E" w14:textId="77777777" w:rsidR="00C57BB8" w:rsidRDefault="00C57BB8" w:rsidP="00F14FE4">
            <w:pPr>
              <w:spacing w:after="60"/>
              <w:rPr>
                <w:rFonts w:ascii="Arial" w:hAnsi="Arial" w:cs="Arial"/>
                <w:sz w:val="20"/>
                <w:szCs w:val="20"/>
              </w:rPr>
            </w:pPr>
            <w:r>
              <w:rPr>
                <w:rFonts w:ascii="Arial" w:hAnsi="Arial" w:cs="Arial"/>
                <w:sz w:val="20"/>
                <w:szCs w:val="20"/>
              </w:rPr>
              <w:t>Executive Committee Member</w:t>
            </w:r>
          </w:p>
        </w:tc>
      </w:tr>
      <w:tr w:rsidR="00C57BB8" w:rsidRPr="00BE0816" w14:paraId="4520E866" w14:textId="77777777" w:rsidTr="003B6C07">
        <w:trPr>
          <w:jc w:val="center"/>
        </w:trPr>
        <w:tc>
          <w:tcPr>
            <w:tcW w:w="2065" w:type="dxa"/>
          </w:tcPr>
          <w:p w14:paraId="70E6AF48" w14:textId="77777777" w:rsidR="00C57BB8" w:rsidRPr="00BE0816" w:rsidRDefault="00C57BB8" w:rsidP="00F14FE4">
            <w:pPr>
              <w:spacing w:after="60"/>
              <w:rPr>
                <w:rFonts w:ascii="Arial" w:hAnsi="Arial" w:cs="Arial"/>
                <w:sz w:val="20"/>
                <w:szCs w:val="20"/>
              </w:rPr>
            </w:pPr>
            <w:r>
              <w:rPr>
                <w:rFonts w:ascii="Arial" w:hAnsi="Arial" w:cs="Arial"/>
                <w:sz w:val="20"/>
                <w:szCs w:val="20"/>
              </w:rPr>
              <w:t>David Troutt</w:t>
            </w:r>
          </w:p>
        </w:tc>
        <w:tc>
          <w:tcPr>
            <w:tcW w:w="4420" w:type="dxa"/>
          </w:tcPr>
          <w:p w14:paraId="5CDF3FD6"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Nisqually Tribe</w:t>
            </w:r>
          </w:p>
        </w:tc>
        <w:tc>
          <w:tcPr>
            <w:tcW w:w="3815" w:type="dxa"/>
          </w:tcPr>
          <w:p w14:paraId="7BA0D71F" w14:textId="77777777" w:rsidR="00C57BB8" w:rsidRPr="00BE0816" w:rsidRDefault="00C57BB8" w:rsidP="00F14FE4">
            <w:pPr>
              <w:spacing w:after="60"/>
              <w:rPr>
                <w:rFonts w:ascii="Arial" w:hAnsi="Arial" w:cs="Arial"/>
                <w:sz w:val="20"/>
                <w:szCs w:val="20"/>
              </w:rPr>
            </w:pPr>
            <w:r w:rsidRPr="00BE0816">
              <w:rPr>
                <w:rFonts w:ascii="Arial" w:hAnsi="Arial" w:cs="Arial"/>
                <w:sz w:val="20"/>
                <w:szCs w:val="20"/>
              </w:rPr>
              <w:t>Communications &amp; Development Manager</w:t>
            </w:r>
          </w:p>
        </w:tc>
        <w:tc>
          <w:tcPr>
            <w:tcW w:w="2670" w:type="dxa"/>
          </w:tcPr>
          <w:p w14:paraId="6469AD0E" w14:textId="77777777" w:rsidR="00C57BB8" w:rsidRPr="00BE0816" w:rsidRDefault="00C57BB8" w:rsidP="00F14FE4">
            <w:pPr>
              <w:spacing w:after="60"/>
              <w:rPr>
                <w:rFonts w:ascii="Arial" w:hAnsi="Arial" w:cs="Arial"/>
                <w:sz w:val="20"/>
                <w:szCs w:val="20"/>
              </w:rPr>
            </w:pPr>
            <w:r>
              <w:rPr>
                <w:rFonts w:ascii="Arial" w:hAnsi="Arial" w:cs="Arial"/>
                <w:sz w:val="20"/>
                <w:szCs w:val="20"/>
              </w:rPr>
              <w:t>Executive Committee Member</w:t>
            </w:r>
          </w:p>
        </w:tc>
      </w:tr>
      <w:tr w:rsidR="00C57BB8" w:rsidRPr="00BE0816" w14:paraId="325C1BDD" w14:textId="77777777" w:rsidTr="003B6C07">
        <w:trPr>
          <w:jc w:val="center"/>
        </w:trPr>
        <w:tc>
          <w:tcPr>
            <w:tcW w:w="2065" w:type="dxa"/>
          </w:tcPr>
          <w:p w14:paraId="1A8063A1" w14:textId="77777777" w:rsidR="00C57BB8" w:rsidRPr="00BE0816" w:rsidRDefault="00C57BB8" w:rsidP="00F14FE4">
            <w:pPr>
              <w:spacing w:after="60"/>
              <w:rPr>
                <w:rFonts w:ascii="Arial" w:hAnsi="Arial" w:cs="Arial"/>
                <w:sz w:val="20"/>
                <w:szCs w:val="20"/>
              </w:rPr>
            </w:pPr>
            <w:r>
              <w:rPr>
                <w:rFonts w:ascii="Arial" w:hAnsi="Arial" w:cs="Arial"/>
                <w:sz w:val="20"/>
                <w:szCs w:val="20"/>
              </w:rPr>
              <w:t>Derek Young</w:t>
            </w:r>
          </w:p>
        </w:tc>
        <w:tc>
          <w:tcPr>
            <w:tcW w:w="4420" w:type="dxa"/>
          </w:tcPr>
          <w:p w14:paraId="4A7AD168" w14:textId="77777777" w:rsidR="00C57BB8" w:rsidRPr="00BE0816" w:rsidRDefault="00C57BB8" w:rsidP="00F14FE4">
            <w:pPr>
              <w:spacing w:after="60"/>
              <w:rPr>
                <w:rFonts w:ascii="Arial" w:hAnsi="Arial" w:cs="Arial"/>
                <w:sz w:val="20"/>
                <w:szCs w:val="20"/>
              </w:rPr>
            </w:pPr>
            <w:r>
              <w:rPr>
                <w:rFonts w:ascii="Arial" w:hAnsi="Arial" w:cs="Arial"/>
                <w:sz w:val="20"/>
                <w:szCs w:val="20"/>
              </w:rPr>
              <w:t>Pierce County</w:t>
            </w:r>
          </w:p>
        </w:tc>
        <w:tc>
          <w:tcPr>
            <w:tcW w:w="3815" w:type="dxa"/>
          </w:tcPr>
          <w:p w14:paraId="64C06C47" w14:textId="77777777" w:rsidR="00C57BB8" w:rsidRPr="00BE0816" w:rsidRDefault="00C57BB8" w:rsidP="00F14FE4">
            <w:pPr>
              <w:spacing w:after="60"/>
              <w:rPr>
                <w:rFonts w:ascii="Arial" w:hAnsi="Arial" w:cs="Arial"/>
                <w:sz w:val="20"/>
                <w:szCs w:val="20"/>
              </w:rPr>
            </w:pPr>
            <w:r>
              <w:rPr>
                <w:rFonts w:ascii="Arial" w:hAnsi="Arial" w:cs="Arial"/>
                <w:sz w:val="20"/>
                <w:szCs w:val="20"/>
              </w:rPr>
              <w:t>County Councilmember</w:t>
            </w:r>
          </w:p>
        </w:tc>
        <w:tc>
          <w:tcPr>
            <w:tcW w:w="2670" w:type="dxa"/>
          </w:tcPr>
          <w:p w14:paraId="4506D668" w14:textId="77777777" w:rsidR="00C57BB8" w:rsidRPr="00BE0816" w:rsidRDefault="00C57BB8" w:rsidP="00F14FE4">
            <w:pPr>
              <w:spacing w:after="60"/>
              <w:rPr>
                <w:rFonts w:ascii="Arial" w:hAnsi="Arial" w:cs="Arial"/>
                <w:sz w:val="20"/>
                <w:szCs w:val="20"/>
              </w:rPr>
            </w:pPr>
            <w:r>
              <w:rPr>
                <w:rFonts w:ascii="Arial" w:hAnsi="Arial" w:cs="Arial"/>
                <w:sz w:val="20"/>
                <w:szCs w:val="20"/>
              </w:rPr>
              <w:t>Executive Committee Member</w:t>
            </w:r>
          </w:p>
        </w:tc>
      </w:tr>
    </w:tbl>
    <w:p w14:paraId="72AADC8F" w14:textId="2F91961C" w:rsidR="00BC7240" w:rsidRDefault="00BC7240" w:rsidP="00B968DB">
      <w:pPr>
        <w:spacing w:after="0" w:line="240" w:lineRule="auto"/>
        <w:rPr>
          <w:rFonts w:ascii="Arial" w:eastAsia="Times New Roman" w:hAnsi="Arial" w:cs="Arial"/>
          <w:sz w:val="20"/>
          <w:szCs w:val="20"/>
        </w:rPr>
      </w:pPr>
    </w:p>
    <w:p w14:paraId="7F3886EF" w14:textId="77777777" w:rsidR="00BC7240" w:rsidRPr="00BC7240" w:rsidRDefault="00BC7240" w:rsidP="00B968DB">
      <w:pPr>
        <w:spacing w:after="0" w:line="240" w:lineRule="auto"/>
        <w:rPr>
          <w:rFonts w:ascii="Arial" w:eastAsia="Times New Roman" w:hAnsi="Arial" w:cs="Arial"/>
          <w:sz w:val="20"/>
          <w:szCs w:val="20"/>
        </w:rPr>
      </w:pPr>
    </w:p>
    <w:p w14:paraId="6801E473" w14:textId="77777777" w:rsidR="00B968DB" w:rsidRPr="00B968DB" w:rsidRDefault="00B968DB" w:rsidP="00B968DB">
      <w:pPr>
        <w:pBdr>
          <w:bottom w:val="single" w:sz="12" w:space="0" w:color="003A5D"/>
        </w:pBdr>
        <w:spacing w:before="150" w:after="150" w:line="240" w:lineRule="auto"/>
        <w:outlineLvl w:val="0"/>
        <w:rPr>
          <w:rFonts w:ascii="Trebuchet MS" w:eastAsia="Times New Roman" w:hAnsi="Trebuchet MS" w:cs="Times New Roman"/>
          <w:b/>
          <w:bCs/>
          <w:caps/>
          <w:color w:val="003A5D"/>
          <w:kern w:val="36"/>
          <w:sz w:val="28"/>
          <w:szCs w:val="28"/>
        </w:rPr>
      </w:pPr>
      <w:bookmarkStart w:id="3" w:name="_Toc462918324"/>
      <w:r w:rsidRPr="00B968DB">
        <w:rPr>
          <w:rFonts w:ascii="Trebuchet MS" w:eastAsia="Times New Roman" w:hAnsi="Trebuchet MS" w:cs="Times New Roman"/>
          <w:b/>
          <w:bCs/>
          <w:caps/>
          <w:color w:val="003A5D"/>
          <w:kern w:val="36"/>
          <w:sz w:val="28"/>
          <w:szCs w:val="28"/>
        </w:rPr>
        <w:t>ECOSYSTEM RECOVERY PLAN REVIEW AND APPROVAL STATUS</w:t>
      </w:r>
      <w:bookmarkEnd w:id="3"/>
    </w:p>
    <w:p w14:paraId="2BA60857" w14:textId="77777777" w:rsidR="00B968DB" w:rsidRPr="00B968DB" w:rsidRDefault="00B968DB" w:rsidP="00B968DB">
      <w:pPr>
        <w:spacing w:before="300" w:after="150" w:line="240" w:lineRule="auto"/>
        <w:outlineLvl w:val="1"/>
        <w:rPr>
          <w:rFonts w:ascii="Trebuchet MS" w:eastAsia="Times New Roman" w:hAnsi="Trebuchet MS" w:cs="Times New Roman"/>
          <w:b/>
          <w:bCs/>
          <w:caps/>
          <w:color w:val="003A5D"/>
          <w:sz w:val="24"/>
          <w:szCs w:val="24"/>
        </w:rPr>
      </w:pPr>
      <w:bookmarkStart w:id="4" w:name="_Toc462918325"/>
      <w:r w:rsidRPr="00B968DB">
        <w:rPr>
          <w:rFonts w:ascii="Trebuchet MS" w:eastAsia="Times New Roman" w:hAnsi="Trebuchet MS" w:cs="Times New Roman"/>
          <w:b/>
          <w:bCs/>
          <w:caps/>
          <w:color w:val="003A5D"/>
          <w:sz w:val="24"/>
          <w:szCs w:val="24"/>
        </w:rPr>
        <w:t>LIO PLAN DEVELOPMENT AND DECISION MAKING PROCESS</w:t>
      </w:r>
      <w:bookmarkEnd w:id="4"/>
    </w:p>
    <w:p w14:paraId="6C859F63" w14:textId="296A8415" w:rsidR="00931467" w:rsidRPr="005F2213" w:rsidRDefault="00C57BB8" w:rsidP="00B968DB">
      <w:p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The South Sound Strategy review and approval process is summarized in Table 2 below. The Alliance for a Healthy South Sound Technical Team developed all initial South Sound Strategy products; these products were then vetted with the AHSS Council. After incorporating Council feedback, the Technical Team presented draft products to the AHSS Executive Committee. The Executive Committee provided feedback and approval on the overall direction of the project to the Technical Team.</w:t>
      </w:r>
    </w:p>
    <w:p w14:paraId="2BBC3B26" w14:textId="36109ED4" w:rsidR="00E21625" w:rsidRDefault="00E21625" w:rsidP="00E21625">
      <w:pPr>
        <w:pStyle w:val="Caption"/>
        <w:keepNext/>
      </w:pPr>
      <w:r>
        <w:t xml:space="preserve">Table </w:t>
      </w:r>
      <w:r>
        <w:fldChar w:fldCharType="begin"/>
      </w:r>
      <w:r>
        <w:instrText xml:space="preserve"> SEQ Table \* ARABIC </w:instrText>
      </w:r>
      <w:r>
        <w:fldChar w:fldCharType="separate"/>
      </w:r>
      <w:r w:rsidR="00546832">
        <w:rPr>
          <w:noProof/>
        </w:rPr>
        <w:t>1</w:t>
      </w:r>
      <w:r>
        <w:fldChar w:fldCharType="end"/>
      </w:r>
      <w:r>
        <w:t>: AHSS Recovery Plan Review and Approval Process</w:t>
      </w:r>
    </w:p>
    <w:tbl>
      <w:tblPr>
        <w:tblW w:w="12880" w:type="dxa"/>
        <w:jc w:val="center"/>
        <w:tblBorders>
          <w:top w:val="single" w:sz="4" w:space="0" w:color="1F4E79" w:themeColor="accent1" w:themeShade="80"/>
          <w:left w:val="single" w:sz="4" w:space="0" w:color="1F4E79" w:themeColor="accent1" w:themeShade="80"/>
          <w:bottom w:val="single" w:sz="4" w:space="0" w:color="1F4E79" w:themeColor="accent1" w:themeShade="80"/>
          <w:right w:val="single" w:sz="4" w:space="0" w:color="1F4E79" w:themeColor="accent1" w:themeShade="80"/>
          <w:insideH w:val="single" w:sz="4" w:space="0" w:color="1F4E79" w:themeColor="accent1" w:themeShade="80"/>
          <w:insideV w:val="single" w:sz="4" w:space="0" w:color="1F4E79" w:themeColor="accent1" w:themeShade="80"/>
        </w:tblBorders>
        <w:tblLayout w:type="fixed"/>
        <w:tblLook w:val="0400" w:firstRow="0" w:lastRow="0" w:firstColumn="0" w:lastColumn="0" w:noHBand="0" w:noVBand="1"/>
      </w:tblPr>
      <w:tblGrid>
        <w:gridCol w:w="2705"/>
        <w:gridCol w:w="6930"/>
        <w:gridCol w:w="3245"/>
      </w:tblGrid>
      <w:tr w:rsidR="00FA2991" w:rsidRPr="00BC3605" w14:paraId="0ED1BCF6" w14:textId="77777777" w:rsidTr="005F2213">
        <w:trPr>
          <w:trHeight w:val="680"/>
          <w:jc w:val="center"/>
        </w:trPr>
        <w:tc>
          <w:tcPr>
            <w:tcW w:w="2705" w:type="dxa"/>
            <w:shd w:val="clear" w:color="auto" w:fill="DEEAF6" w:themeFill="accent1" w:themeFillTint="33"/>
          </w:tcPr>
          <w:p w14:paraId="1D35CDAD" w14:textId="77777777" w:rsidR="00E21625" w:rsidRPr="00BC3605" w:rsidRDefault="00E21625" w:rsidP="00F14FE4">
            <w:pPr>
              <w:rPr>
                <w:rFonts w:ascii="Arial" w:hAnsi="Arial" w:cs="Arial"/>
                <w:sz w:val="20"/>
                <w:szCs w:val="20"/>
              </w:rPr>
            </w:pPr>
            <w:r w:rsidRPr="00BC3605">
              <w:rPr>
                <w:rFonts w:ascii="Arial" w:hAnsi="Arial" w:cs="Arial"/>
                <w:b/>
                <w:sz w:val="20"/>
                <w:szCs w:val="20"/>
              </w:rPr>
              <w:t>Name (Technical Team/Council/Executive Committee)</w:t>
            </w:r>
          </w:p>
        </w:tc>
        <w:tc>
          <w:tcPr>
            <w:tcW w:w="6930" w:type="dxa"/>
            <w:shd w:val="clear" w:color="auto" w:fill="DEEAF6" w:themeFill="accent1" w:themeFillTint="33"/>
          </w:tcPr>
          <w:p w14:paraId="34202D41" w14:textId="77777777" w:rsidR="00E21625" w:rsidRPr="00BC3605" w:rsidRDefault="00E21625" w:rsidP="00F14FE4">
            <w:pPr>
              <w:rPr>
                <w:rFonts w:ascii="Arial" w:hAnsi="Arial" w:cs="Arial"/>
                <w:sz w:val="20"/>
                <w:szCs w:val="20"/>
              </w:rPr>
            </w:pPr>
            <w:r w:rsidRPr="00BC3605">
              <w:rPr>
                <w:rFonts w:ascii="Arial" w:hAnsi="Arial" w:cs="Arial"/>
                <w:b/>
                <w:sz w:val="20"/>
                <w:szCs w:val="20"/>
              </w:rPr>
              <w:t>Meeting Topic or Product to Review</w:t>
            </w:r>
          </w:p>
        </w:tc>
        <w:tc>
          <w:tcPr>
            <w:tcW w:w="3245" w:type="dxa"/>
            <w:shd w:val="clear" w:color="auto" w:fill="DEEAF6" w:themeFill="accent1" w:themeFillTint="33"/>
          </w:tcPr>
          <w:p w14:paraId="5174F46C" w14:textId="77777777" w:rsidR="00E21625" w:rsidRPr="00BC3605" w:rsidRDefault="00E21625" w:rsidP="00F14FE4">
            <w:pPr>
              <w:rPr>
                <w:rFonts w:ascii="Arial" w:hAnsi="Arial" w:cs="Arial"/>
                <w:sz w:val="20"/>
                <w:szCs w:val="20"/>
              </w:rPr>
            </w:pPr>
            <w:r w:rsidRPr="00BC3605">
              <w:rPr>
                <w:rFonts w:ascii="Arial" w:hAnsi="Arial" w:cs="Arial"/>
                <w:b/>
                <w:sz w:val="20"/>
                <w:szCs w:val="20"/>
              </w:rPr>
              <w:t>Key Dates or Set Meetings for Review</w:t>
            </w:r>
          </w:p>
        </w:tc>
      </w:tr>
      <w:tr w:rsidR="00FA2991" w:rsidRPr="00BC3605" w14:paraId="07379A71" w14:textId="77777777" w:rsidTr="005F2213">
        <w:trPr>
          <w:trHeight w:val="360"/>
          <w:jc w:val="center"/>
        </w:trPr>
        <w:tc>
          <w:tcPr>
            <w:tcW w:w="2705" w:type="dxa"/>
          </w:tcPr>
          <w:p w14:paraId="1F4AE829" w14:textId="77777777" w:rsidR="00E21625" w:rsidRPr="00BC3605" w:rsidRDefault="00E21625" w:rsidP="00F14FE4">
            <w:pPr>
              <w:rPr>
                <w:rFonts w:ascii="Arial" w:hAnsi="Arial" w:cs="Arial"/>
                <w:sz w:val="20"/>
                <w:szCs w:val="20"/>
              </w:rPr>
            </w:pPr>
            <w:r w:rsidRPr="00BC3605">
              <w:rPr>
                <w:rFonts w:ascii="Arial" w:hAnsi="Arial" w:cs="Arial"/>
                <w:sz w:val="20"/>
                <w:szCs w:val="20"/>
              </w:rPr>
              <w:t>AHSS Technical Team</w:t>
            </w:r>
          </w:p>
        </w:tc>
        <w:tc>
          <w:tcPr>
            <w:tcW w:w="6930" w:type="dxa"/>
          </w:tcPr>
          <w:p w14:paraId="17B9289D"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South Sound Strategy development process</w:t>
            </w:r>
          </w:p>
        </w:tc>
        <w:tc>
          <w:tcPr>
            <w:tcW w:w="3245" w:type="dxa"/>
          </w:tcPr>
          <w:p w14:paraId="3557DFF5" w14:textId="77777777" w:rsidR="00E21625" w:rsidRPr="00BC3605" w:rsidRDefault="00E21625" w:rsidP="00F14FE4">
            <w:pPr>
              <w:rPr>
                <w:rFonts w:ascii="Arial" w:hAnsi="Arial" w:cs="Arial"/>
                <w:sz w:val="20"/>
                <w:szCs w:val="20"/>
              </w:rPr>
            </w:pPr>
            <w:r w:rsidRPr="00BC3605">
              <w:rPr>
                <w:rFonts w:ascii="Arial" w:hAnsi="Arial" w:cs="Arial"/>
                <w:sz w:val="20"/>
                <w:szCs w:val="20"/>
              </w:rPr>
              <w:t>November 6, 2015</w:t>
            </w:r>
          </w:p>
        </w:tc>
      </w:tr>
      <w:tr w:rsidR="00FA2991" w:rsidRPr="00BC3605" w14:paraId="4F7CD275" w14:textId="77777777" w:rsidTr="005F2213">
        <w:trPr>
          <w:trHeight w:val="360"/>
          <w:jc w:val="center"/>
        </w:trPr>
        <w:tc>
          <w:tcPr>
            <w:tcW w:w="2705" w:type="dxa"/>
          </w:tcPr>
          <w:p w14:paraId="7B2C8BC2" w14:textId="77777777" w:rsidR="00E21625" w:rsidRPr="00BC3605" w:rsidRDefault="00E21625" w:rsidP="00F14FE4">
            <w:pPr>
              <w:rPr>
                <w:rFonts w:ascii="Arial" w:hAnsi="Arial" w:cs="Arial"/>
                <w:sz w:val="20"/>
                <w:szCs w:val="20"/>
              </w:rPr>
            </w:pPr>
            <w:r w:rsidRPr="00BC3605">
              <w:rPr>
                <w:rFonts w:ascii="Arial" w:hAnsi="Arial" w:cs="Arial"/>
                <w:sz w:val="20"/>
                <w:szCs w:val="20"/>
              </w:rPr>
              <w:lastRenderedPageBreak/>
              <w:t>AHSS Executive Committee</w:t>
            </w:r>
          </w:p>
        </w:tc>
        <w:tc>
          <w:tcPr>
            <w:tcW w:w="6930" w:type="dxa"/>
          </w:tcPr>
          <w:p w14:paraId="76FA7FD8"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South Sound Strategy process update</w:t>
            </w:r>
          </w:p>
        </w:tc>
        <w:tc>
          <w:tcPr>
            <w:tcW w:w="3245" w:type="dxa"/>
          </w:tcPr>
          <w:p w14:paraId="030770BE" w14:textId="77777777" w:rsidR="00E21625" w:rsidRPr="00BC3605" w:rsidRDefault="00E21625" w:rsidP="00F14FE4">
            <w:pPr>
              <w:rPr>
                <w:rFonts w:ascii="Arial" w:hAnsi="Arial" w:cs="Arial"/>
                <w:sz w:val="20"/>
                <w:szCs w:val="20"/>
              </w:rPr>
            </w:pPr>
            <w:r w:rsidRPr="00BC3605">
              <w:rPr>
                <w:rFonts w:ascii="Arial" w:hAnsi="Arial" w:cs="Arial"/>
                <w:sz w:val="20"/>
                <w:szCs w:val="20"/>
              </w:rPr>
              <w:t>November 18, 2015</w:t>
            </w:r>
          </w:p>
        </w:tc>
      </w:tr>
      <w:tr w:rsidR="00FA2991" w:rsidRPr="00BC3605" w14:paraId="583C2B30" w14:textId="77777777" w:rsidTr="005F2213">
        <w:trPr>
          <w:trHeight w:val="540"/>
          <w:jc w:val="center"/>
        </w:trPr>
        <w:tc>
          <w:tcPr>
            <w:tcW w:w="2705" w:type="dxa"/>
          </w:tcPr>
          <w:p w14:paraId="02A2BD82" w14:textId="77777777" w:rsidR="00E21625" w:rsidRPr="00BC3605" w:rsidRDefault="00E21625" w:rsidP="00F14FE4">
            <w:pPr>
              <w:rPr>
                <w:rFonts w:ascii="Arial" w:hAnsi="Arial" w:cs="Arial"/>
                <w:sz w:val="20"/>
                <w:szCs w:val="20"/>
              </w:rPr>
            </w:pPr>
            <w:r w:rsidRPr="00BC3605">
              <w:rPr>
                <w:rFonts w:ascii="Arial" w:hAnsi="Arial" w:cs="Arial"/>
                <w:sz w:val="20"/>
                <w:szCs w:val="20"/>
              </w:rPr>
              <w:t>AHSS Council</w:t>
            </w:r>
          </w:p>
        </w:tc>
        <w:tc>
          <w:tcPr>
            <w:tcW w:w="6930" w:type="dxa"/>
          </w:tcPr>
          <w:p w14:paraId="384CD707"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South Sound Strategy process update</w:t>
            </w:r>
          </w:p>
        </w:tc>
        <w:tc>
          <w:tcPr>
            <w:tcW w:w="3245" w:type="dxa"/>
          </w:tcPr>
          <w:p w14:paraId="76E2073A" w14:textId="77777777" w:rsidR="00E21625" w:rsidRPr="00BC3605" w:rsidRDefault="00E21625" w:rsidP="00F14FE4">
            <w:pPr>
              <w:rPr>
                <w:rFonts w:ascii="Arial" w:hAnsi="Arial" w:cs="Arial"/>
                <w:sz w:val="20"/>
                <w:szCs w:val="20"/>
              </w:rPr>
            </w:pPr>
            <w:r w:rsidRPr="00BC3605">
              <w:rPr>
                <w:rFonts w:ascii="Arial" w:hAnsi="Arial" w:cs="Arial"/>
                <w:sz w:val="20"/>
                <w:szCs w:val="20"/>
              </w:rPr>
              <w:t>December 8, 2015</w:t>
            </w:r>
          </w:p>
        </w:tc>
      </w:tr>
      <w:tr w:rsidR="00FA2991" w:rsidRPr="00BC3605" w14:paraId="3D8E2DEB" w14:textId="77777777" w:rsidTr="005F2213">
        <w:trPr>
          <w:trHeight w:val="360"/>
          <w:jc w:val="center"/>
        </w:trPr>
        <w:tc>
          <w:tcPr>
            <w:tcW w:w="2705" w:type="dxa"/>
          </w:tcPr>
          <w:p w14:paraId="1751B8AA" w14:textId="77777777" w:rsidR="00E21625" w:rsidRPr="00BC3605" w:rsidRDefault="00E21625" w:rsidP="00F14FE4">
            <w:pPr>
              <w:rPr>
                <w:rFonts w:ascii="Arial" w:hAnsi="Arial" w:cs="Arial"/>
                <w:sz w:val="20"/>
                <w:szCs w:val="20"/>
              </w:rPr>
            </w:pPr>
            <w:r w:rsidRPr="00BC3605">
              <w:rPr>
                <w:rFonts w:ascii="Arial" w:hAnsi="Arial" w:cs="Arial"/>
                <w:sz w:val="20"/>
                <w:szCs w:val="20"/>
              </w:rPr>
              <w:t>AHSS Technical Team</w:t>
            </w:r>
          </w:p>
        </w:tc>
        <w:tc>
          <w:tcPr>
            <w:tcW w:w="6930" w:type="dxa"/>
          </w:tcPr>
          <w:p w14:paraId="35261EA3"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South Sound Strategy outline</w:t>
            </w:r>
          </w:p>
        </w:tc>
        <w:tc>
          <w:tcPr>
            <w:tcW w:w="3245" w:type="dxa"/>
          </w:tcPr>
          <w:p w14:paraId="127214A1" w14:textId="77777777" w:rsidR="00E21625" w:rsidRPr="00BC3605" w:rsidRDefault="00E21625" w:rsidP="00F14FE4">
            <w:pPr>
              <w:rPr>
                <w:rFonts w:ascii="Arial" w:hAnsi="Arial" w:cs="Arial"/>
                <w:sz w:val="20"/>
                <w:szCs w:val="20"/>
              </w:rPr>
            </w:pPr>
            <w:r w:rsidRPr="00BC3605">
              <w:rPr>
                <w:rFonts w:ascii="Arial" w:hAnsi="Arial" w:cs="Arial"/>
                <w:sz w:val="20"/>
                <w:szCs w:val="20"/>
              </w:rPr>
              <w:t>January 15, 2016</w:t>
            </w:r>
          </w:p>
        </w:tc>
      </w:tr>
      <w:tr w:rsidR="00FA2991" w:rsidRPr="00BC3605" w14:paraId="4570BF8A" w14:textId="77777777" w:rsidTr="005F2213">
        <w:trPr>
          <w:trHeight w:val="540"/>
          <w:jc w:val="center"/>
        </w:trPr>
        <w:tc>
          <w:tcPr>
            <w:tcW w:w="2705" w:type="dxa"/>
          </w:tcPr>
          <w:p w14:paraId="12846A83" w14:textId="77777777" w:rsidR="00E21625" w:rsidRPr="00BC3605" w:rsidRDefault="00E21625" w:rsidP="00F14FE4">
            <w:pPr>
              <w:rPr>
                <w:rFonts w:ascii="Arial" w:hAnsi="Arial" w:cs="Arial"/>
                <w:sz w:val="20"/>
                <w:szCs w:val="20"/>
              </w:rPr>
            </w:pPr>
            <w:r w:rsidRPr="00BC3605">
              <w:rPr>
                <w:rFonts w:ascii="Arial" w:hAnsi="Arial" w:cs="Arial"/>
                <w:sz w:val="20"/>
                <w:szCs w:val="20"/>
              </w:rPr>
              <w:t>AHSS Technical Team</w:t>
            </w:r>
          </w:p>
        </w:tc>
        <w:tc>
          <w:tcPr>
            <w:tcW w:w="6930" w:type="dxa"/>
          </w:tcPr>
          <w:p w14:paraId="7CF6EAC5"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South Sound Strategy development process</w:t>
            </w:r>
          </w:p>
        </w:tc>
        <w:tc>
          <w:tcPr>
            <w:tcW w:w="3245" w:type="dxa"/>
          </w:tcPr>
          <w:p w14:paraId="279976D6" w14:textId="77777777" w:rsidR="00E21625" w:rsidRPr="00BC3605" w:rsidRDefault="00E21625" w:rsidP="00F14FE4">
            <w:pPr>
              <w:rPr>
                <w:rFonts w:ascii="Arial" w:hAnsi="Arial" w:cs="Arial"/>
                <w:sz w:val="20"/>
                <w:szCs w:val="20"/>
              </w:rPr>
            </w:pPr>
            <w:r w:rsidRPr="00BC3605">
              <w:rPr>
                <w:rFonts w:ascii="Arial" w:hAnsi="Arial" w:cs="Arial"/>
                <w:sz w:val="20"/>
                <w:szCs w:val="20"/>
              </w:rPr>
              <w:t>January 27, 2016</w:t>
            </w:r>
          </w:p>
        </w:tc>
      </w:tr>
      <w:tr w:rsidR="00FA2991" w:rsidRPr="00BC3605" w14:paraId="2F7318E6" w14:textId="77777777" w:rsidTr="005F2213">
        <w:trPr>
          <w:trHeight w:val="540"/>
          <w:jc w:val="center"/>
        </w:trPr>
        <w:tc>
          <w:tcPr>
            <w:tcW w:w="2705" w:type="dxa"/>
          </w:tcPr>
          <w:p w14:paraId="1170FC22" w14:textId="77777777" w:rsidR="00E21625" w:rsidRPr="00BC3605" w:rsidRDefault="00E21625" w:rsidP="00F14FE4">
            <w:pPr>
              <w:rPr>
                <w:rFonts w:ascii="Arial" w:hAnsi="Arial" w:cs="Arial"/>
                <w:sz w:val="20"/>
                <w:szCs w:val="20"/>
              </w:rPr>
            </w:pPr>
            <w:r w:rsidRPr="00BC3605">
              <w:rPr>
                <w:rFonts w:ascii="Arial" w:hAnsi="Arial" w:cs="Arial"/>
                <w:sz w:val="20"/>
                <w:szCs w:val="20"/>
              </w:rPr>
              <w:t>AHSS Executive Committee</w:t>
            </w:r>
          </w:p>
        </w:tc>
        <w:tc>
          <w:tcPr>
            <w:tcW w:w="6930" w:type="dxa"/>
          </w:tcPr>
          <w:p w14:paraId="36856684"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South Sound Strategy process update</w:t>
            </w:r>
          </w:p>
        </w:tc>
        <w:tc>
          <w:tcPr>
            <w:tcW w:w="3245" w:type="dxa"/>
          </w:tcPr>
          <w:p w14:paraId="36BA9857" w14:textId="77777777" w:rsidR="00E21625" w:rsidRPr="00BC3605" w:rsidRDefault="00E21625" w:rsidP="00F14FE4">
            <w:pPr>
              <w:rPr>
                <w:rFonts w:ascii="Arial" w:hAnsi="Arial" w:cs="Arial"/>
                <w:sz w:val="20"/>
                <w:szCs w:val="20"/>
              </w:rPr>
            </w:pPr>
            <w:r w:rsidRPr="00BC3605">
              <w:rPr>
                <w:rFonts w:ascii="Arial" w:hAnsi="Arial" w:cs="Arial"/>
                <w:sz w:val="20"/>
                <w:szCs w:val="20"/>
              </w:rPr>
              <w:t>January 27, 2016</w:t>
            </w:r>
          </w:p>
        </w:tc>
      </w:tr>
      <w:tr w:rsidR="00FA2991" w:rsidRPr="00BC3605" w14:paraId="233EDA18" w14:textId="77777777" w:rsidTr="005F2213">
        <w:trPr>
          <w:trHeight w:val="540"/>
          <w:jc w:val="center"/>
        </w:trPr>
        <w:tc>
          <w:tcPr>
            <w:tcW w:w="2705" w:type="dxa"/>
          </w:tcPr>
          <w:p w14:paraId="6D8EFA7B" w14:textId="77777777" w:rsidR="00E21625" w:rsidRPr="00BC3605" w:rsidRDefault="00E21625" w:rsidP="00F14FE4">
            <w:pPr>
              <w:rPr>
                <w:rFonts w:ascii="Arial" w:hAnsi="Arial" w:cs="Arial"/>
                <w:sz w:val="20"/>
                <w:szCs w:val="20"/>
              </w:rPr>
            </w:pPr>
            <w:r w:rsidRPr="00BC3605">
              <w:rPr>
                <w:rFonts w:ascii="Arial" w:hAnsi="Arial" w:cs="Arial"/>
                <w:sz w:val="20"/>
                <w:szCs w:val="20"/>
              </w:rPr>
              <w:t>AHSS Council</w:t>
            </w:r>
          </w:p>
        </w:tc>
        <w:tc>
          <w:tcPr>
            <w:tcW w:w="6930" w:type="dxa"/>
          </w:tcPr>
          <w:p w14:paraId="212C331A"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South Sound Strategy process update</w:t>
            </w:r>
          </w:p>
        </w:tc>
        <w:tc>
          <w:tcPr>
            <w:tcW w:w="3245" w:type="dxa"/>
          </w:tcPr>
          <w:p w14:paraId="37B12E02" w14:textId="77777777" w:rsidR="00E21625" w:rsidRPr="00BC3605" w:rsidRDefault="00E21625" w:rsidP="00F14FE4">
            <w:pPr>
              <w:rPr>
                <w:rFonts w:ascii="Arial" w:hAnsi="Arial" w:cs="Arial"/>
                <w:sz w:val="20"/>
                <w:szCs w:val="20"/>
              </w:rPr>
            </w:pPr>
            <w:r w:rsidRPr="00BC3605">
              <w:rPr>
                <w:rFonts w:ascii="Arial" w:hAnsi="Arial" w:cs="Arial"/>
                <w:sz w:val="20"/>
                <w:szCs w:val="20"/>
              </w:rPr>
              <w:t>February 2, 2016</w:t>
            </w:r>
          </w:p>
        </w:tc>
      </w:tr>
      <w:tr w:rsidR="00FA2991" w:rsidRPr="00BC3605" w14:paraId="0EE80355" w14:textId="77777777" w:rsidTr="005F2213">
        <w:trPr>
          <w:trHeight w:val="540"/>
          <w:jc w:val="center"/>
        </w:trPr>
        <w:tc>
          <w:tcPr>
            <w:tcW w:w="2705" w:type="dxa"/>
          </w:tcPr>
          <w:p w14:paraId="3D419C9E" w14:textId="77777777" w:rsidR="00E21625" w:rsidRPr="00BC3605" w:rsidRDefault="00E21625" w:rsidP="00F14FE4">
            <w:pPr>
              <w:rPr>
                <w:rFonts w:ascii="Arial" w:hAnsi="Arial" w:cs="Arial"/>
                <w:sz w:val="20"/>
                <w:szCs w:val="20"/>
              </w:rPr>
            </w:pPr>
            <w:r w:rsidRPr="00BC3605">
              <w:rPr>
                <w:rFonts w:ascii="Arial" w:hAnsi="Arial" w:cs="Arial"/>
                <w:sz w:val="20"/>
                <w:szCs w:val="20"/>
              </w:rPr>
              <w:t>AHSS Technical Team</w:t>
            </w:r>
          </w:p>
        </w:tc>
        <w:tc>
          <w:tcPr>
            <w:tcW w:w="6930" w:type="dxa"/>
          </w:tcPr>
          <w:p w14:paraId="19222155"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Data sources</w:t>
            </w:r>
          </w:p>
          <w:p w14:paraId="4D657BBE"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GIS units</w:t>
            </w:r>
          </w:p>
        </w:tc>
        <w:tc>
          <w:tcPr>
            <w:tcW w:w="3245" w:type="dxa"/>
          </w:tcPr>
          <w:p w14:paraId="4948F4E6" w14:textId="77777777" w:rsidR="00E21625" w:rsidRPr="00BC3605" w:rsidRDefault="00E21625" w:rsidP="00F14FE4">
            <w:pPr>
              <w:rPr>
                <w:rFonts w:ascii="Arial" w:hAnsi="Arial" w:cs="Arial"/>
                <w:sz w:val="20"/>
                <w:szCs w:val="20"/>
              </w:rPr>
            </w:pPr>
            <w:r w:rsidRPr="00BC3605">
              <w:rPr>
                <w:rFonts w:ascii="Arial" w:hAnsi="Arial" w:cs="Arial"/>
                <w:sz w:val="20"/>
                <w:szCs w:val="20"/>
              </w:rPr>
              <w:t>February 12, 2016</w:t>
            </w:r>
          </w:p>
        </w:tc>
      </w:tr>
      <w:tr w:rsidR="00FA2991" w:rsidRPr="00BC3605" w14:paraId="476EA3BC" w14:textId="77777777" w:rsidTr="005F2213">
        <w:trPr>
          <w:trHeight w:val="360"/>
          <w:jc w:val="center"/>
        </w:trPr>
        <w:tc>
          <w:tcPr>
            <w:tcW w:w="2705" w:type="dxa"/>
          </w:tcPr>
          <w:p w14:paraId="75D49D4E" w14:textId="77777777" w:rsidR="00E21625" w:rsidRPr="00BC3605" w:rsidRDefault="00E21625" w:rsidP="00F14FE4">
            <w:pPr>
              <w:rPr>
                <w:rFonts w:ascii="Arial" w:hAnsi="Arial" w:cs="Arial"/>
                <w:sz w:val="20"/>
                <w:szCs w:val="20"/>
              </w:rPr>
            </w:pPr>
            <w:r w:rsidRPr="00BC3605">
              <w:rPr>
                <w:rFonts w:ascii="Arial" w:hAnsi="Arial" w:cs="Arial"/>
                <w:sz w:val="20"/>
                <w:szCs w:val="20"/>
              </w:rPr>
              <w:t>AHSS Executive Committee</w:t>
            </w:r>
          </w:p>
        </w:tc>
        <w:tc>
          <w:tcPr>
            <w:tcW w:w="6930" w:type="dxa"/>
          </w:tcPr>
          <w:p w14:paraId="78A3B9D6"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South Sound Strategy process update</w:t>
            </w:r>
          </w:p>
        </w:tc>
        <w:tc>
          <w:tcPr>
            <w:tcW w:w="3245" w:type="dxa"/>
          </w:tcPr>
          <w:p w14:paraId="3C1D345D" w14:textId="77777777" w:rsidR="00E21625" w:rsidRPr="00BC3605" w:rsidRDefault="00E21625" w:rsidP="00F14FE4">
            <w:pPr>
              <w:rPr>
                <w:rFonts w:ascii="Arial" w:hAnsi="Arial" w:cs="Arial"/>
                <w:sz w:val="20"/>
                <w:szCs w:val="20"/>
              </w:rPr>
            </w:pPr>
            <w:r w:rsidRPr="00BC3605">
              <w:rPr>
                <w:rFonts w:ascii="Arial" w:hAnsi="Arial" w:cs="Arial"/>
                <w:sz w:val="20"/>
                <w:szCs w:val="20"/>
              </w:rPr>
              <w:t>February 24, 2106</w:t>
            </w:r>
          </w:p>
        </w:tc>
      </w:tr>
      <w:tr w:rsidR="00FA2991" w:rsidRPr="00BC3605" w14:paraId="129F4190" w14:textId="77777777" w:rsidTr="005F2213">
        <w:trPr>
          <w:trHeight w:val="540"/>
          <w:jc w:val="center"/>
        </w:trPr>
        <w:tc>
          <w:tcPr>
            <w:tcW w:w="2705" w:type="dxa"/>
          </w:tcPr>
          <w:p w14:paraId="7A8C35DD" w14:textId="77777777" w:rsidR="00E21625" w:rsidRPr="00BC3605" w:rsidRDefault="00E21625" w:rsidP="00F14FE4">
            <w:pPr>
              <w:rPr>
                <w:rFonts w:ascii="Arial" w:hAnsi="Arial" w:cs="Arial"/>
                <w:sz w:val="20"/>
                <w:szCs w:val="20"/>
              </w:rPr>
            </w:pPr>
            <w:r w:rsidRPr="00BC3605">
              <w:rPr>
                <w:rFonts w:ascii="Arial" w:hAnsi="Arial" w:cs="Arial"/>
                <w:sz w:val="20"/>
                <w:szCs w:val="20"/>
              </w:rPr>
              <w:t>AHSS Council</w:t>
            </w:r>
          </w:p>
        </w:tc>
        <w:tc>
          <w:tcPr>
            <w:tcW w:w="6930" w:type="dxa"/>
          </w:tcPr>
          <w:p w14:paraId="6FFB65EE"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South Sound Strategy process update, including draft vision statement</w:t>
            </w:r>
          </w:p>
        </w:tc>
        <w:tc>
          <w:tcPr>
            <w:tcW w:w="3245" w:type="dxa"/>
          </w:tcPr>
          <w:p w14:paraId="1A82450A" w14:textId="77777777" w:rsidR="00E21625" w:rsidRPr="00BC3605" w:rsidRDefault="00E21625" w:rsidP="00F14FE4">
            <w:pPr>
              <w:rPr>
                <w:rFonts w:ascii="Arial" w:hAnsi="Arial" w:cs="Arial"/>
                <w:sz w:val="20"/>
                <w:szCs w:val="20"/>
              </w:rPr>
            </w:pPr>
            <w:r w:rsidRPr="00BC3605">
              <w:rPr>
                <w:rFonts w:ascii="Arial" w:hAnsi="Arial" w:cs="Arial"/>
                <w:sz w:val="20"/>
                <w:szCs w:val="20"/>
              </w:rPr>
              <w:t>March 1, 2016</w:t>
            </w:r>
          </w:p>
        </w:tc>
      </w:tr>
      <w:tr w:rsidR="00FA2991" w:rsidRPr="00BC3605" w14:paraId="38E5AA04" w14:textId="77777777" w:rsidTr="005F2213">
        <w:trPr>
          <w:trHeight w:val="300"/>
          <w:jc w:val="center"/>
        </w:trPr>
        <w:tc>
          <w:tcPr>
            <w:tcW w:w="2705" w:type="dxa"/>
          </w:tcPr>
          <w:p w14:paraId="02A2FC3F" w14:textId="77777777" w:rsidR="00E21625" w:rsidRPr="00BC3605" w:rsidRDefault="00E21625" w:rsidP="00F14FE4">
            <w:pPr>
              <w:rPr>
                <w:rFonts w:ascii="Arial" w:hAnsi="Arial" w:cs="Arial"/>
                <w:sz w:val="20"/>
                <w:szCs w:val="20"/>
              </w:rPr>
            </w:pPr>
            <w:r w:rsidRPr="00BC3605">
              <w:rPr>
                <w:rFonts w:ascii="Arial" w:hAnsi="Arial" w:cs="Arial"/>
                <w:sz w:val="20"/>
                <w:szCs w:val="20"/>
              </w:rPr>
              <w:t>AHSS Technical Team</w:t>
            </w:r>
          </w:p>
        </w:tc>
        <w:tc>
          <w:tcPr>
            <w:tcW w:w="6930" w:type="dxa"/>
          </w:tcPr>
          <w:p w14:paraId="41B3A293"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Analysis units and attributes</w:t>
            </w:r>
          </w:p>
        </w:tc>
        <w:tc>
          <w:tcPr>
            <w:tcW w:w="3245" w:type="dxa"/>
          </w:tcPr>
          <w:p w14:paraId="2370C942" w14:textId="77777777" w:rsidR="00E21625" w:rsidRPr="00BC3605" w:rsidRDefault="00E21625" w:rsidP="00F14FE4">
            <w:pPr>
              <w:rPr>
                <w:rFonts w:ascii="Arial" w:hAnsi="Arial" w:cs="Arial"/>
                <w:sz w:val="20"/>
                <w:szCs w:val="20"/>
              </w:rPr>
            </w:pPr>
            <w:r w:rsidRPr="00BC3605">
              <w:rPr>
                <w:rFonts w:ascii="Arial" w:hAnsi="Arial" w:cs="Arial"/>
                <w:sz w:val="20"/>
                <w:szCs w:val="20"/>
              </w:rPr>
              <w:t>March 4, 2016</w:t>
            </w:r>
          </w:p>
        </w:tc>
      </w:tr>
      <w:tr w:rsidR="00FA2991" w:rsidRPr="00BC3605" w14:paraId="4DF3FB43" w14:textId="77777777" w:rsidTr="005F2213">
        <w:trPr>
          <w:trHeight w:val="540"/>
          <w:jc w:val="center"/>
        </w:trPr>
        <w:tc>
          <w:tcPr>
            <w:tcW w:w="2705" w:type="dxa"/>
          </w:tcPr>
          <w:p w14:paraId="5DB82867" w14:textId="77777777" w:rsidR="00E21625" w:rsidRPr="00BC3605" w:rsidRDefault="00E21625" w:rsidP="00F14FE4">
            <w:pPr>
              <w:rPr>
                <w:rFonts w:ascii="Arial" w:hAnsi="Arial" w:cs="Arial"/>
                <w:sz w:val="20"/>
                <w:szCs w:val="20"/>
              </w:rPr>
            </w:pPr>
            <w:r w:rsidRPr="00BC3605">
              <w:rPr>
                <w:rFonts w:ascii="Arial" w:hAnsi="Arial" w:cs="Arial"/>
                <w:sz w:val="20"/>
                <w:szCs w:val="20"/>
              </w:rPr>
              <w:t>AHSS Technical Team</w:t>
            </w:r>
          </w:p>
        </w:tc>
        <w:tc>
          <w:tcPr>
            <w:tcW w:w="6930" w:type="dxa"/>
          </w:tcPr>
          <w:p w14:paraId="7CF2E629"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Initial maps for nearshore and upland assessment units and attributes</w:t>
            </w:r>
          </w:p>
        </w:tc>
        <w:tc>
          <w:tcPr>
            <w:tcW w:w="3245" w:type="dxa"/>
          </w:tcPr>
          <w:p w14:paraId="0D749E92" w14:textId="77777777" w:rsidR="00E21625" w:rsidRPr="00BC3605" w:rsidRDefault="00E21625" w:rsidP="00F14FE4">
            <w:pPr>
              <w:rPr>
                <w:rFonts w:ascii="Arial" w:hAnsi="Arial" w:cs="Arial"/>
                <w:sz w:val="20"/>
                <w:szCs w:val="20"/>
              </w:rPr>
            </w:pPr>
            <w:r w:rsidRPr="00BC3605">
              <w:rPr>
                <w:rFonts w:ascii="Arial" w:hAnsi="Arial" w:cs="Arial"/>
                <w:sz w:val="20"/>
                <w:szCs w:val="20"/>
              </w:rPr>
              <w:t>March 18, 2016</w:t>
            </w:r>
          </w:p>
        </w:tc>
      </w:tr>
      <w:tr w:rsidR="00FA2991" w:rsidRPr="00BC3605" w14:paraId="23175A4E" w14:textId="77777777" w:rsidTr="005F2213">
        <w:trPr>
          <w:trHeight w:val="540"/>
          <w:jc w:val="center"/>
        </w:trPr>
        <w:tc>
          <w:tcPr>
            <w:tcW w:w="2705" w:type="dxa"/>
          </w:tcPr>
          <w:p w14:paraId="23FB2A55" w14:textId="77777777" w:rsidR="00E21625" w:rsidRPr="00BC3605" w:rsidRDefault="00E21625" w:rsidP="00F14FE4">
            <w:pPr>
              <w:rPr>
                <w:rFonts w:ascii="Arial" w:hAnsi="Arial" w:cs="Arial"/>
                <w:sz w:val="20"/>
                <w:szCs w:val="20"/>
              </w:rPr>
            </w:pPr>
            <w:r w:rsidRPr="00BC3605">
              <w:rPr>
                <w:rFonts w:ascii="Arial" w:hAnsi="Arial" w:cs="Arial"/>
                <w:sz w:val="20"/>
                <w:szCs w:val="20"/>
              </w:rPr>
              <w:t>AHSS Technical Team</w:t>
            </w:r>
          </w:p>
        </w:tc>
        <w:tc>
          <w:tcPr>
            <w:tcW w:w="6930" w:type="dxa"/>
          </w:tcPr>
          <w:p w14:paraId="7593D56B"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 xml:space="preserve">Working list of South Sound attributes, data sources, preliminary goal statements </w:t>
            </w:r>
          </w:p>
        </w:tc>
        <w:tc>
          <w:tcPr>
            <w:tcW w:w="3245" w:type="dxa"/>
          </w:tcPr>
          <w:p w14:paraId="436F6235" w14:textId="77777777" w:rsidR="00E21625" w:rsidRPr="00BC3605" w:rsidRDefault="00E21625" w:rsidP="00F14FE4">
            <w:pPr>
              <w:rPr>
                <w:rFonts w:ascii="Arial" w:hAnsi="Arial" w:cs="Arial"/>
                <w:sz w:val="20"/>
                <w:szCs w:val="20"/>
              </w:rPr>
            </w:pPr>
            <w:r w:rsidRPr="00BC3605">
              <w:rPr>
                <w:rFonts w:ascii="Arial" w:hAnsi="Arial" w:cs="Arial"/>
                <w:sz w:val="20"/>
                <w:szCs w:val="20"/>
              </w:rPr>
              <w:t>April 30, 2016</w:t>
            </w:r>
          </w:p>
        </w:tc>
      </w:tr>
      <w:tr w:rsidR="00FA2991" w:rsidRPr="00BC3605" w14:paraId="64A15A27" w14:textId="77777777" w:rsidTr="005F2213">
        <w:trPr>
          <w:trHeight w:val="540"/>
          <w:jc w:val="center"/>
        </w:trPr>
        <w:tc>
          <w:tcPr>
            <w:tcW w:w="2705" w:type="dxa"/>
          </w:tcPr>
          <w:p w14:paraId="51F02E03" w14:textId="77777777" w:rsidR="00E21625" w:rsidRPr="00BC3605" w:rsidRDefault="00E21625" w:rsidP="00F14FE4">
            <w:pPr>
              <w:rPr>
                <w:rFonts w:ascii="Arial" w:hAnsi="Arial" w:cs="Arial"/>
                <w:sz w:val="20"/>
                <w:szCs w:val="20"/>
              </w:rPr>
            </w:pPr>
            <w:r w:rsidRPr="00BC3605">
              <w:rPr>
                <w:rFonts w:ascii="Arial" w:hAnsi="Arial" w:cs="Arial"/>
                <w:sz w:val="20"/>
                <w:szCs w:val="20"/>
              </w:rPr>
              <w:t>AHSS Technical Team</w:t>
            </w:r>
          </w:p>
        </w:tc>
        <w:tc>
          <w:tcPr>
            <w:tcW w:w="6930" w:type="dxa"/>
          </w:tcPr>
          <w:p w14:paraId="06221477"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Example analysis for land cover (riparian/vegetative cover) and marine water quality</w:t>
            </w:r>
          </w:p>
        </w:tc>
        <w:tc>
          <w:tcPr>
            <w:tcW w:w="3245" w:type="dxa"/>
          </w:tcPr>
          <w:p w14:paraId="6477D7DE" w14:textId="77777777" w:rsidR="00E21625" w:rsidRPr="00BC3605" w:rsidRDefault="00E21625" w:rsidP="00F14FE4">
            <w:pPr>
              <w:rPr>
                <w:rFonts w:ascii="Arial" w:hAnsi="Arial" w:cs="Arial"/>
                <w:sz w:val="20"/>
                <w:szCs w:val="20"/>
              </w:rPr>
            </w:pPr>
            <w:r w:rsidRPr="00BC3605">
              <w:rPr>
                <w:rFonts w:ascii="Arial" w:hAnsi="Arial" w:cs="Arial"/>
                <w:sz w:val="20"/>
                <w:szCs w:val="20"/>
              </w:rPr>
              <w:t>May 3, 2016</w:t>
            </w:r>
          </w:p>
        </w:tc>
      </w:tr>
      <w:tr w:rsidR="00FA2991" w:rsidRPr="00BC3605" w14:paraId="0AF5ECF0" w14:textId="77777777" w:rsidTr="005F2213">
        <w:trPr>
          <w:trHeight w:val="540"/>
          <w:jc w:val="center"/>
        </w:trPr>
        <w:tc>
          <w:tcPr>
            <w:tcW w:w="2705" w:type="dxa"/>
          </w:tcPr>
          <w:p w14:paraId="1D0C89B3" w14:textId="77777777" w:rsidR="00E21625" w:rsidRPr="00BC3605" w:rsidRDefault="00E21625" w:rsidP="00F14FE4">
            <w:pPr>
              <w:rPr>
                <w:rFonts w:ascii="Arial" w:hAnsi="Arial" w:cs="Arial"/>
                <w:sz w:val="20"/>
                <w:szCs w:val="20"/>
              </w:rPr>
            </w:pPr>
            <w:r w:rsidRPr="00BC3605">
              <w:rPr>
                <w:rFonts w:ascii="Arial" w:hAnsi="Arial" w:cs="Arial"/>
                <w:sz w:val="20"/>
                <w:szCs w:val="20"/>
              </w:rPr>
              <w:t>AHSS Council</w:t>
            </w:r>
          </w:p>
        </w:tc>
        <w:tc>
          <w:tcPr>
            <w:tcW w:w="6930" w:type="dxa"/>
          </w:tcPr>
          <w:p w14:paraId="050B515A"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Emerging goal statements and opportunities by inlet/island group</w:t>
            </w:r>
          </w:p>
          <w:p w14:paraId="1E3C9B73"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Strategy framework and conceptual models</w:t>
            </w:r>
          </w:p>
        </w:tc>
        <w:tc>
          <w:tcPr>
            <w:tcW w:w="3245" w:type="dxa"/>
          </w:tcPr>
          <w:p w14:paraId="162455A2" w14:textId="77777777" w:rsidR="00E21625" w:rsidRPr="00BC3605" w:rsidRDefault="00E21625" w:rsidP="00F14FE4">
            <w:pPr>
              <w:rPr>
                <w:rFonts w:ascii="Arial" w:hAnsi="Arial" w:cs="Arial"/>
                <w:sz w:val="20"/>
                <w:szCs w:val="20"/>
              </w:rPr>
            </w:pPr>
            <w:r w:rsidRPr="00BC3605">
              <w:rPr>
                <w:rFonts w:ascii="Arial" w:hAnsi="Arial" w:cs="Arial"/>
                <w:sz w:val="20"/>
                <w:szCs w:val="20"/>
              </w:rPr>
              <w:t>May 3, 2016</w:t>
            </w:r>
          </w:p>
        </w:tc>
      </w:tr>
      <w:tr w:rsidR="00FA2991" w:rsidRPr="00BC3605" w14:paraId="6D03FCA7" w14:textId="77777777" w:rsidTr="005F2213">
        <w:trPr>
          <w:trHeight w:val="540"/>
          <w:jc w:val="center"/>
        </w:trPr>
        <w:tc>
          <w:tcPr>
            <w:tcW w:w="2705" w:type="dxa"/>
          </w:tcPr>
          <w:p w14:paraId="178F78CC" w14:textId="77777777" w:rsidR="00E21625" w:rsidRPr="00BC3605" w:rsidRDefault="00E21625" w:rsidP="00F14FE4">
            <w:pPr>
              <w:rPr>
                <w:rFonts w:ascii="Arial" w:hAnsi="Arial" w:cs="Arial"/>
                <w:sz w:val="20"/>
                <w:szCs w:val="20"/>
              </w:rPr>
            </w:pPr>
            <w:r w:rsidRPr="00BC3605">
              <w:rPr>
                <w:rFonts w:ascii="Arial" w:hAnsi="Arial" w:cs="Arial"/>
                <w:sz w:val="20"/>
                <w:szCs w:val="20"/>
              </w:rPr>
              <w:t>AHSS Executive Committee</w:t>
            </w:r>
          </w:p>
        </w:tc>
        <w:tc>
          <w:tcPr>
            <w:tcW w:w="6930" w:type="dxa"/>
          </w:tcPr>
          <w:p w14:paraId="7619FA21"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Emerging goal statements and opportunities by inlet/island group</w:t>
            </w:r>
          </w:p>
          <w:p w14:paraId="5D9DC3E4"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Strategy framework and conceptual models</w:t>
            </w:r>
          </w:p>
        </w:tc>
        <w:tc>
          <w:tcPr>
            <w:tcW w:w="3245" w:type="dxa"/>
          </w:tcPr>
          <w:p w14:paraId="0870DE12" w14:textId="77777777" w:rsidR="00E21625" w:rsidRPr="00BC3605" w:rsidRDefault="00E21625" w:rsidP="00F14FE4">
            <w:pPr>
              <w:rPr>
                <w:rFonts w:ascii="Arial" w:hAnsi="Arial" w:cs="Arial"/>
                <w:sz w:val="20"/>
                <w:szCs w:val="20"/>
              </w:rPr>
            </w:pPr>
            <w:r w:rsidRPr="00BC3605">
              <w:rPr>
                <w:rFonts w:ascii="Arial" w:hAnsi="Arial" w:cs="Arial"/>
                <w:sz w:val="20"/>
                <w:szCs w:val="20"/>
              </w:rPr>
              <w:t>May 27, 2016</w:t>
            </w:r>
          </w:p>
        </w:tc>
      </w:tr>
      <w:tr w:rsidR="00FA2991" w:rsidRPr="00BC3605" w14:paraId="5DD32F7A" w14:textId="77777777" w:rsidTr="005F2213">
        <w:trPr>
          <w:trHeight w:val="1025"/>
          <w:jc w:val="center"/>
        </w:trPr>
        <w:tc>
          <w:tcPr>
            <w:tcW w:w="2705" w:type="dxa"/>
          </w:tcPr>
          <w:p w14:paraId="4D0081A3" w14:textId="77777777" w:rsidR="00E21625" w:rsidRPr="00BC3605" w:rsidRDefault="00E21625" w:rsidP="00F14FE4">
            <w:pPr>
              <w:rPr>
                <w:rFonts w:ascii="Arial" w:hAnsi="Arial" w:cs="Arial"/>
                <w:sz w:val="20"/>
                <w:szCs w:val="20"/>
              </w:rPr>
            </w:pPr>
            <w:r w:rsidRPr="00BC3605">
              <w:rPr>
                <w:rFonts w:ascii="Arial" w:hAnsi="Arial" w:cs="Arial"/>
                <w:sz w:val="20"/>
                <w:szCs w:val="20"/>
              </w:rPr>
              <w:lastRenderedPageBreak/>
              <w:t>AHSS Council</w:t>
            </w:r>
          </w:p>
        </w:tc>
        <w:tc>
          <w:tcPr>
            <w:tcW w:w="6930" w:type="dxa"/>
          </w:tcPr>
          <w:p w14:paraId="277A2481"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Criteria for goals and target-setting</w:t>
            </w:r>
          </w:p>
          <w:p w14:paraId="13D73DFC"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Attributes for target-setting and ideas for targets</w:t>
            </w:r>
          </w:p>
          <w:p w14:paraId="4371AD36"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Ongoing programs and strategies</w:t>
            </w:r>
          </w:p>
          <w:p w14:paraId="7B0EC116"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Initial draft of an initial chapter</w:t>
            </w:r>
          </w:p>
        </w:tc>
        <w:tc>
          <w:tcPr>
            <w:tcW w:w="3245" w:type="dxa"/>
          </w:tcPr>
          <w:p w14:paraId="00126C59" w14:textId="77777777" w:rsidR="00E21625" w:rsidRPr="00BC3605" w:rsidRDefault="00E21625" w:rsidP="00F14FE4">
            <w:pPr>
              <w:rPr>
                <w:rFonts w:ascii="Arial" w:hAnsi="Arial" w:cs="Arial"/>
                <w:sz w:val="20"/>
                <w:szCs w:val="20"/>
              </w:rPr>
            </w:pPr>
            <w:r w:rsidRPr="00BC3605">
              <w:rPr>
                <w:rFonts w:ascii="Arial" w:hAnsi="Arial" w:cs="Arial"/>
                <w:sz w:val="20"/>
                <w:szCs w:val="20"/>
              </w:rPr>
              <w:t>June 28, 2016</w:t>
            </w:r>
          </w:p>
        </w:tc>
      </w:tr>
      <w:tr w:rsidR="00FA2991" w:rsidRPr="00BC3605" w14:paraId="731B29D5" w14:textId="77777777" w:rsidTr="005F2213">
        <w:trPr>
          <w:trHeight w:val="360"/>
          <w:jc w:val="center"/>
        </w:trPr>
        <w:tc>
          <w:tcPr>
            <w:tcW w:w="2705" w:type="dxa"/>
          </w:tcPr>
          <w:p w14:paraId="09D14E6A" w14:textId="77777777" w:rsidR="00E21625" w:rsidRPr="00BC3605" w:rsidRDefault="00E21625" w:rsidP="00F14FE4">
            <w:pPr>
              <w:rPr>
                <w:rFonts w:ascii="Arial" w:hAnsi="Arial" w:cs="Arial"/>
                <w:sz w:val="20"/>
                <w:szCs w:val="20"/>
              </w:rPr>
            </w:pPr>
            <w:r w:rsidRPr="00BC3605">
              <w:rPr>
                <w:rFonts w:ascii="Arial" w:hAnsi="Arial" w:cs="Arial"/>
                <w:sz w:val="20"/>
                <w:szCs w:val="20"/>
              </w:rPr>
              <w:t>AHSS Technical Team</w:t>
            </w:r>
          </w:p>
        </w:tc>
        <w:tc>
          <w:tcPr>
            <w:tcW w:w="6930" w:type="dxa"/>
          </w:tcPr>
          <w:p w14:paraId="3DB9F99F"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Draft proposed target setting worksheet</w:t>
            </w:r>
          </w:p>
        </w:tc>
        <w:tc>
          <w:tcPr>
            <w:tcW w:w="3245" w:type="dxa"/>
          </w:tcPr>
          <w:p w14:paraId="22AA1CAF" w14:textId="77777777" w:rsidR="00E21625" w:rsidRPr="00BC3605" w:rsidRDefault="00E21625" w:rsidP="00F14FE4">
            <w:pPr>
              <w:rPr>
                <w:rFonts w:ascii="Arial" w:hAnsi="Arial" w:cs="Arial"/>
                <w:sz w:val="20"/>
                <w:szCs w:val="20"/>
              </w:rPr>
            </w:pPr>
            <w:r w:rsidRPr="00BC3605">
              <w:rPr>
                <w:rFonts w:ascii="Arial" w:hAnsi="Arial" w:cs="Arial"/>
                <w:sz w:val="20"/>
                <w:szCs w:val="20"/>
              </w:rPr>
              <w:t>July 14, 2016</w:t>
            </w:r>
          </w:p>
        </w:tc>
      </w:tr>
      <w:tr w:rsidR="00FA2991" w:rsidRPr="00BC3605" w14:paraId="76074760" w14:textId="77777777" w:rsidTr="005F2213">
        <w:trPr>
          <w:trHeight w:val="540"/>
          <w:jc w:val="center"/>
        </w:trPr>
        <w:tc>
          <w:tcPr>
            <w:tcW w:w="2705" w:type="dxa"/>
          </w:tcPr>
          <w:p w14:paraId="7420BC6C" w14:textId="77777777" w:rsidR="00E21625" w:rsidRPr="00BC3605" w:rsidRDefault="00E21625" w:rsidP="00F14FE4">
            <w:pPr>
              <w:rPr>
                <w:rFonts w:ascii="Arial" w:hAnsi="Arial" w:cs="Arial"/>
                <w:sz w:val="20"/>
                <w:szCs w:val="20"/>
              </w:rPr>
            </w:pPr>
            <w:r w:rsidRPr="00BC3605">
              <w:rPr>
                <w:rFonts w:ascii="Arial" w:hAnsi="Arial" w:cs="Arial"/>
                <w:sz w:val="20"/>
                <w:szCs w:val="20"/>
              </w:rPr>
              <w:t>AHSS Executive Committee</w:t>
            </w:r>
          </w:p>
        </w:tc>
        <w:tc>
          <w:tcPr>
            <w:tcW w:w="6930" w:type="dxa"/>
          </w:tcPr>
          <w:p w14:paraId="26E978BE"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Summary of work to date on focus areas and strategies</w:t>
            </w:r>
          </w:p>
          <w:p w14:paraId="65C9CE17" w14:textId="77777777" w:rsidR="00E21625" w:rsidRPr="00BC3605" w:rsidRDefault="00E21625" w:rsidP="00E21625">
            <w:pPr>
              <w:numPr>
                <w:ilvl w:val="0"/>
                <w:numId w:val="11"/>
              </w:numPr>
              <w:spacing w:after="0" w:line="240" w:lineRule="auto"/>
              <w:ind w:left="510" w:hanging="360"/>
              <w:contextualSpacing/>
              <w:rPr>
                <w:rFonts w:ascii="Arial" w:hAnsi="Arial" w:cs="Arial"/>
                <w:sz w:val="20"/>
                <w:szCs w:val="20"/>
              </w:rPr>
            </w:pPr>
            <w:r w:rsidRPr="00BC3605">
              <w:rPr>
                <w:rFonts w:ascii="Arial" w:hAnsi="Arial" w:cs="Arial"/>
                <w:sz w:val="20"/>
                <w:szCs w:val="20"/>
              </w:rPr>
              <w:t>Upcoming work to complete strategy for September due date</w:t>
            </w:r>
          </w:p>
        </w:tc>
        <w:tc>
          <w:tcPr>
            <w:tcW w:w="3245" w:type="dxa"/>
          </w:tcPr>
          <w:p w14:paraId="09F4239F" w14:textId="77777777" w:rsidR="00E21625" w:rsidRPr="00BC3605" w:rsidRDefault="00E21625" w:rsidP="00F14FE4">
            <w:pPr>
              <w:rPr>
                <w:rFonts w:ascii="Arial" w:hAnsi="Arial" w:cs="Arial"/>
                <w:sz w:val="20"/>
                <w:szCs w:val="20"/>
              </w:rPr>
            </w:pPr>
            <w:r w:rsidRPr="00BC3605">
              <w:rPr>
                <w:rFonts w:ascii="Arial" w:hAnsi="Arial" w:cs="Arial"/>
                <w:sz w:val="20"/>
                <w:szCs w:val="20"/>
              </w:rPr>
              <w:t>July 27, 2016</w:t>
            </w:r>
          </w:p>
        </w:tc>
      </w:tr>
      <w:tr w:rsidR="00FA2991" w:rsidRPr="00BC3605" w14:paraId="2D0F4C84" w14:textId="77777777" w:rsidTr="005F2213">
        <w:trPr>
          <w:trHeight w:val="540"/>
          <w:jc w:val="center"/>
        </w:trPr>
        <w:tc>
          <w:tcPr>
            <w:tcW w:w="2705" w:type="dxa"/>
          </w:tcPr>
          <w:p w14:paraId="104A2C0F" w14:textId="762D69EE" w:rsidR="00E21625" w:rsidRPr="00BC3605" w:rsidRDefault="00FA2991" w:rsidP="00F14FE4">
            <w:pPr>
              <w:rPr>
                <w:rFonts w:ascii="Arial" w:hAnsi="Arial" w:cs="Arial"/>
                <w:sz w:val="20"/>
                <w:szCs w:val="20"/>
              </w:rPr>
            </w:pPr>
            <w:r>
              <w:rPr>
                <w:rFonts w:ascii="Arial" w:hAnsi="Arial" w:cs="Arial"/>
                <w:sz w:val="20"/>
                <w:szCs w:val="20"/>
              </w:rPr>
              <w:t>AHSS Council</w:t>
            </w:r>
          </w:p>
        </w:tc>
        <w:tc>
          <w:tcPr>
            <w:tcW w:w="6930" w:type="dxa"/>
          </w:tcPr>
          <w:p w14:paraId="0888EA6F" w14:textId="552CC727" w:rsidR="00E21625" w:rsidRPr="00BC3605" w:rsidRDefault="00970DE7" w:rsidP="00F14FE4">
            <w:pPr>
              <w:ind w:left="510" w:hanging="360"/>
              <w:rPr>
                <w:rFonts w:ascii="Arial" w:hAnsi="Arial" w:cs="Arial"/>
                <w:sz w:val="20"/>
                <w:szCs w:val="20"/>
              </w:rPr>
            </w:pPr>
            <w:r w:rsidRPr="00970DE7">
              <w:rPr>
                <w:rFonts w:ascii="Arial" w:hAnsi="Arial" w:cs="Arial"/>
                <w:sz w:val="20"/>
                <w:szCs w:val="20"/>
              </w:rPr>
              <w:t>●</w:t>
            </w:r>
            <w:r w:rsidRPr="00970DE7">
              <w:rPr>
                <w:rFonts w:ascii="Arial" w:hAnsi="Arial" w:cs="Arial"/>
                <w:sz w:val="20"/>
                <w:szCs w:val="20"/>
              </w:rPr>
              <w:tab/>
              <w:t>Draft-final set of proposed targets to forward to Executive Committee</w:t>
            </w:r>
          </w:p>
        </w:tc>
        <w:tc>
          <w:tcPr>
            <w:tcW w:w="3245" w:type="dxa"/>
          </w:tcPr>
          <w:p w14:paraId="07965388" w14:textId="244DB734" w:rsidR="00E21625" w:rsidRPr="00BC3605" w:rsidRDefault="00FA2991" w:rsidP="00F14FE4">
            <w:pPr>
              <w:rPr>
                <w:rFonts w:ascii="Arial" w:hAnsi="Arial" w:cs="Arial"/>
                <w:sz w:val="20"/>
                <w:szCs w:val="20"/>
              </w:rPr>
            </w:pPr>
            <w:r>
              <w:rPr>
                <w:rFonts w:ascii="Arial" w:hAnsi="Arial" w:cs="Arial"/>
                <w:sz w:val="20"/>
                <w:szCs w:val="20"/>
              </w:rPr>
              <w:t>September 6, 2016</w:t>
            </w:r>
          </w:p>
        </w:tc>
      </w:tr>
      <w:tr w:rsidR="00FA2991" w:rsidRPr="00BC3605" w14:paraId="1415530F" w14:textId="77777777" w:rsidTr="005F2213">
        <w:trPr>
          <w:trHeight w:val="540"/>
          <w:jc w:val="center"/>
        </w:trPr>
        <w:tc>
          <w:tcPr>
            <w:tcW w:w="2705" w:type="dxa"/>
          </w:tcPr>
          <w:p w14:paraId="213D139B" w14:textId="6BA75CC9" w:rsidR="00FA2991" w:rsidRDefault="00FA2991" w:rsidP="00F14FE4">
            <w:pPr>
              <w:rPr>
                <w:rFonts w:ascii="Arial" w:hAnsi="Arial" w:cs="Arial"/>
                <w:sz w:val="20"/>
                <w:szCs w:val="20"/>
              </w:rPr>
            </w:pPr>
            <w:r>
              <w:rPr>
                <w:rFonts w:ascii="Arial" w:hAnsi="Arial" w:cs="Arial"/>
                <w:sz w:val="20"/>
                <w:szCs w:val="20"/>
              </w:rPr>
              <w:t>AHSS Technical Team</w:t>
            </w:r>
          </w:p>
        </w:tc>
        <w:tc>
          <w:tcPr>
            <w:tcW w:w="6930" w:type="dxa"/>
          </w:tcPr>
          <w:p w14:paraId="3F25E125" w14:textId="3FBA943A" w:rsidR="00FA2991" w:rsidRPr="00BC3605" w:rsidRDefault="00970DE7" w:rsidP="00970DE7">
            <w:pPr>
              <w:numPr>
                <w:ilvl w:val="0"/>
                <w:numId w:val="11"/>
              </w:numPr>
              <w:spacing w:after="0" w:line="240" w:lineRule="auto"/>
              <w:ind w:left="510" w:hanging="360"/>
              <w:contextualSpacing/>
              <w:rPr>
                <w:rFonts w:ascii="Arial" w:hAnsi="Arial" w:cs="Arial"/>
                <w:sz w:val="20"/>
                <w:szCs w:val="20"/>
              </w:rPr>
            </w:pPr>
            <w:r>
              <w:rPr>
                <w:rFonts w:ascii="Arial" w:hAnsi="Arial" w:cs="Arial"/>
                <w:sz w:val="20"/>
                <w:szCs w:val="20"/>
              </w:rPr>
              <w:t>Draft-final set of proposed targets to forward to Executive Committee</w:t>
            </w:r>
          </w:p>
        </w:tc>
        <w:tc>
          <w:tcPr>
            <w:tcW w:w="3245" w:type="dxa"/>
          </w:tcPr>
          <w:p w14:paraId="2B3B1159" w14:textId="2A4CD43E" w:rsidR="00FA2991" w:rsidRDefault="00FA2991" w:rsidP="00F14FE4">
            <w:pPr>
              <w:rPr>
                <w:rFonts w:ascii="Arial" w:hAnsi="Arial" w:cs="Arial"/>
                <w:sz w:val="20"/>
                <w:szCs w:val="20"/>
              </w:rPr>
            </w:pPr>
            <w:r>
              <w:rPr>
                <w:rFonts w:ascii="Arial" w:hAnsi="Arial" w:cs="Arial"/>
                <w:sz w:val="20"/>
                <w:szCs w:val="20"/>
              </w:rPr>
              <w:t>September 8, 2016</w:t>
            </w:r>
          </w:p>
        </w:tc>
      </w:tr>
      <w:tr w:rsidR="00FA2991" w:rsidRPr="00BC3605" w14:paraId="6B9B814A" w14:textId="77777777" w:rsidTr="005F2213">
        <w:trPr>
          <w:trHeight w:val="540"/>
          <w:jc w:val="center"/>
        </w:trPr>
        <w:tc>
          <w:tcPr>
            <w:tcW w:w="2705" w:type="dxa"/>
          </w:tcPr>
          <w:p w14:paraId="0E53CA39" w14:textId="5331EE0E" w:rsidR="00FA2991" w:rsidRDefault="00FA2991" w:rsidP="00F14FE4">
            <w:pPr>
              <w:rPr>
                <w:rFonts w:ascii="Arial" w:hAnsi="Arial" w:cs="Arial"/>
                <w:sz w:val="20"/>
                <w:szCs w:val="20"/>
              </w:rPr>
            </w:pPr>
            <w:r>
              <w:rPr>
                <w:rFonts w:ascii="Arial" w:hAnsi="Arial" w:cs="Arial"/>
                <w:sz w:val="20"/>
                <w:szCs w:val="20"/>
              </w:rPr>
              <w:t>AHSS Executive Committee</w:t>
            </w:r>
          </w:p>
        </w:tc>
        <w:tc>
          <w:tcPr>
            <w:tcW w:w="6930" w:type="dxa"/>
          </w:tcPr>
          <w:p w14:paraId="4F890C41" w14:textId="77777777" w:rsidR="00970DE7" w:rsidRDefault="00FA2991" w:rsidP="00970DE7">
            <w:pPr>
              <w:numPr>
                <w:ilvl w:val="0"/>
                <w:numId w:val="11"/>
              </w:numPr>
              <w:spacing w:after="0" w:line="240" w:lineRule="auto"/>
              <w:ind w:left="510" w:hanging="360"/>
              <w:contextualSpacing/>
              <w:rPr>
                <w:rFonts w:ascii="Arial" w:hAnsi="Arial" w:cs="Arial"/>
                <w:sz w:val="20"/>
                <w:szCs w:val="20"/>
              </w:rPr>
            </w:pPr>
            <w:r>
              <w:rPr>
                <w:rFonts w:ascii="Arial" w:hAnsi="Arial" w:cs="Arial"/>
                <w:sz w:val="20"/>
                <w:szCs w:val="20"/>
              </w:rPr>
              <w:t>Draft targets</w:t>
            </w:r>
            <w:r w:rsidR="00970DE7">
              <w:rPr>
                <w:rFonts w:ascii="Arial" w:hAnsi="Arial" w:cs="Arial"/>
                <w:sz w:val="20"/>
                <w:szCs w:val="20"/>
              </w:rPr>
              <w:t xml:space="preserve"> as developed and approved by Technical Team</w:t>
            </w:r>
          </w:p>
          <w:p w14:paraId="3F819E76" w14:textId="6FBA0CC6" w:rsidR="00970DE7" w:rsidRPr="00970DE7" w:rsidRDefault="00970DE7" w:rsidP="00970DE7">
            <w:pPr>
              <w:numPr>
                <w:ilvl w:val="0"/>
                <w:numId w:val="11"/>
              </w:numPr>
              <w:spacing w:after="0" w:line="240" w:lineRule="auto"/>
              <w:ind w:left="510" w:hanging="360"/>
              <w:contextualSpacing/>
              <w:rPr>
                <w:rFonts w:ascii="Arial" w:hAnsi="Arial" w:cs="Arial"/>
                <w:sz w:val="20"/>
                <w:szCs w:val="20"/>
              </w:rPr>
            </w:pPr>
            <w:r w:rsidRPr="00970DE7">
              <w:rPr>
                <w:rFonts w:ascii="Arial" w:hAnsi="Arial" w:cs="Arial"/>
                <w:sz w:val="20"/>
                <w:szCs w:val="20"/>
              </w:rPr>
              <w:t>Proposed next steps for finalizing strategy</w:t>
            </w:r>
          </w:p>
        </w:tc>
        <w:tc>
          <w:tcPr>
            <w:tcW w:w="3245" w:type="dxa"/>
          </w:tcPr>
          <w:p w14:paraId="6AA8DFB8" w14:textId="5800294B" w:rsidR="00FA2991" w:rsidRDefault="00FA2991" w:rsidP="00F14FE4">
            <w:pPr>
              <w:rPr>
                <w:rFonts w:ascii="Arial" w:hAnsi="Arial" w:cs="Arial"/>
                <w:sz w:val="20"/>
                <w:szCs w:val="20"/>
              </w:rPr>
            </w:pPr>
            <w:r>
              <w:rPr>
                <w:rFonts w:ascii="Arial" w:hAnsi="Arial" w:cs="Arial"/>
                <w:sz w:val="20"/>
                <w:szCs w:val="20"/>
              </w:rPr>
              <w:t>September 28, 2016</w:t>
            </w:r>
          </w:p>
        </w:tc>
      </w:tr>
    </w:tbl>
    <w:p w14:paraId="7659DB0A" w14:textId="77777777" w:rsidR="00E21625" w:rsidRPr="00931467" w:rsidRDefault="00E21625" w:rsidP="00B968DB">
      <w:pPr>
        <w:spacing w:after="150" w:line="240" w:lineRule="auto"/>
        <w:rPr>
          <w:rFonts w:ascii="Arial" w:eastAsia="Times New Roman" w:hAnsi="Arial" w:cs="Arial"/>
          <w:color w:val="C80000"/>
          <w:sz w:val="20"/>
          <w:szCs w:val="20"/>
        </w:rPr>
      </w:pPr>
    </w:p>
    <w:p w14:paraId="183A371A" w14:textId="77777777" w:rsidR="00B968DB" w:rsidRPr="00B968DB" w:rsidRDefault="00B968DB" w:rsidP="00B968DB">
      <w:pPr>
        <w:spacing w:before="300" w:after="150" w:line="240" w:lineRule="auto"/>
        <w:outlineLvl w:val="1"/>
        <w:rPr>
          <w:rFonts w:ascii="Trebuchet MS" w:eastAsia="Times New Roman" w:hAnsi="Trebuchet MS" w:cs="Times New Roman"/>
          <w:b/>
          <w:bCs/>
          <w:caps/>
          <w:color w:val="003A5D"/>
          <w:sz w:val="24"/>
          <w:szCs w:val="24"/>
        </w:rPr>
      </w:pPr>
      <w:bookmarkStart w:id="5" w:name="_Toc462918326"/>
      <w:r w:rsidRPr="00B968DB">
        <w:rPr>
          <w:rFonts w:ascii="Trebuchet MS" w:eastAsia="Times New Roman" w:hAnsi="Trebuchet MS" w:cs="Times New Roman"/>
          <w:b/>
          <w:bCs/>
          <w:caps/>
          <w:color w:val="003A5D"/>
          <w:sz w:val="24"/>
          <w:szCs w:val="24"/>
        </w:rPr>
        <w:t>LIO ECOSYSTEM RECOVERY PLAN REVIEW AND APPROVAL</w:t>
      </w:r>
      <w:bookmarkEnd w:id="5"/>
    </w:p>
    <w:tbl>
      <w:tblPr>
        <w:tblW w:w="0" w:type="auto"/>
        <w:tblCellMar>
          <w:top w:w="15" w:type="dxa"/>
          <w:left w:w="15" w:type="dxa"/>
          <w:bottom w:w="15" w:type="dxa"/>
          <w:right w:w="15" w:type="dxa"/>
        </w:tblCellMar>
        <w:tblLook w:val="04A0" w:firstRow="1" w:lastRow="0" w:firstColumn="1" w:lastColumn="0" w:noHBand="0" w:noVBand="1"/>
      </w:tblPr>
      <w:tblGrid>
        <w:gridCol w:w="6603"/>
        <w:gridCol w:w="1776"/>
        <w:gridCol w:w="1141"/>
      </w:tblGrid>
      <w:tr w:rsidR="00FA2991" w14:paraId="2663B547" w14:textId="77777777" w:rsidTr="00FA299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4A266495" w14:textId="7777777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bookmarkStart w:id="6" w:name="_Toc462918327"/>
            <w:r w:rsidRPr="00FA2991">
              <w:rPr>
                <w:rFonts w:ascii="Trebuchet MS" w:eastAsia="Times New Roman" w:hAnsi="Trebuchet MS" w:cs="Times New Roman"/>
                <w:b/>
                <w:bCs/>
                <w:caps/>
                <w:color w:val="FFFFFF"/>
                <w:sz w:val="20"/>
                <w:szCs w:val="20"/>
              </w:rPr>
              <w:t>Group Name</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3DED7947" w14:textId="02F84F4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r>
              <w:rPr>
                <w:rFonts w:ascii="Trebuchet MS" w:eastAsia="Times New Roman" w:hAnsi="Trebuchet MS" w:cs="Times New Roman"/>
                <w:b/>
                <w:bCs/>
                <w:caps/>
                <w:color w:val="FFFFFF"/>
                <w:sz w:val="20"/>
                <w:szCs w:val="20"/>
              </w:rPr>
              <w:t xml:space="preserve">DRAFT </w:t>
            </w:r>
            <w:r w:rsidRPr="00FA2991">
              <w:rPr>
                <w:rFonts w:ascii="Trebuchet MS" w:eastAsia="Times New Roman" w:hAnsi="Trebuchet MS" w:cs="Times New Roman"/>
                <w:b/>
                <w:bCs/>
                <w:caps/>
                <w:color w:val="FFFFFF"/>
                <w:sz w:val="20"/>
                <w:szCs w:val="20"/>
              </w:rPr>
              <w:t>Reviewed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5A5267C4" w14:textId="7777777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r w:rsidRPr="00FA2991">
              <w:rPr>
                <w:rFonts w:ascii="Trebuchet MS" w:eastAsia="Times New Roman" w:hAnsi="Trebuchet MS" w:cs="Times New Roman"/>
                <w:b/>
                <w:bCs/>
                <w:caps/>
                <w:color w:val="FFFFFF"/>
                <w:sz w:val="20"/>
                <w:szCs w:val="20"/>
              </w:rPr>
              <w:t>Approved</w:t>
            </w:r>
          </w:p>
        </w:tc>
      </w:tr>
      <w:tr w:rsidR="00FA2991" w14:paraId="120F278D" w14:textId="77777777" w:rsidTr="00FA299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5A2E2DEC" w14:textId="7777777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r w:rsidRPr="00FA2991">
              <w:rPr>
                <w:rFonts w:ascii="Trebuchet MS" w:eastAsia="Times New Roman" w:hAnsi="Trebuchet MS" w:cs="Times New Roman"/>
                <w:b/>
                <w:bCs/>
                <w:caps/>
                <w:color w:val="FFFFFF"/>
                <w:sz w:val="20"/>
                <w:szCs w:val="20"/>
              </w:rPr>
              <w:t>Alliance for a Healthy South Sound LIO Executive Committee</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38A49B5D" w14:textId="7777777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r w:rsidRPr="00FA2991">
              <w:rPr>
                <w:rFonts w:ascii="Segoe UI Symbol" w:eastAsia="Times New Roman" w:hAnsi="Segoe UI Symbol" w:cs="Segoe UI Symbol"/>
                <w:b/>
                <w:bCs/>
                <w:caps/>
                <w:color w:val="FFFFFF"/>
                <w:sz w:val="20"/>
                <w:szCs w:val="20"/>
              </w:rPr>
              <w:t>☒</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1DE91674" w14:textId="7777777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r w:rsidRPr="00FA2991">
              <w:rPr>
                <w:rFonts w:ascii="Segoe UI Symbol" w:eastAsia="Times New Roman" w:hAnsi="Segoe UI Symbol" w:cs="Segoe UI Symbol"/>
                <w:b/>
                <w:bCs/>
                <w:caps/>
                <w:color w:val="FFFFFF"/>
                <w:sz w:val="20"/>
                <w:szCs w:val="20"/>
              </w:rPr>
              <w:t>☐</w:t>
            </w:r>
          </w:p>
        </w:tc>
      </w:tr>
      <w:tr w:rsidR="00FA2991" w14:paraId="6567ACFE" w14:textId="77777777" w:rsidTr="00FA299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6A6D03AB" w14:textId="7777777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r w:rsidRPr="00FA2991">
              <w:rPr>
                <w:rFonts w:ascii="Trebuchet MS" w:eastAsia="Times New Roman" w:hAnsi="Trebuchet MS" w:cs="Times New Roman"/>
                <w:b/>
                <w:bCs/>
                <w:caps/>
                <w:color w:val="FFFFFF"/>
                <w:sz w:val="20"/>
                <w:szCs w:val="20"/>
              </w:rPr>
              <w:t>Alliance for a Healthy South Sound LIO Council</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7332A0D8" w14:textId="7777777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r w:rsidRPr="00FA2991">
              <w:rPr>
                <w:rFonts w:ascii="Segoe UI Symbol" w:eastAsia="Times New Roman" w:hAnsi="Segoe UI Symbol" w:cs="Segoe UI Symbol"/>
                <w:b/>
                <w:bCs/>
                <w:caps/>
                <w:color w:val="FFFFFF"/>
                <w:sz w:val="20"/>
                <w:szCs w:val="20"/>
              </w:rPr>
              <w:t>☒</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7851639E" w14:textId="7777777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r w:rsidRPr="00FA2991">
              <w:rPr>
                <w:rFonts w:ascii="Segoe UI Symbol" w:eastAsia="Times New Roman" w:hAnsi="Segoe UI Symbol" w:cs="Segoe UI Symbol"/>
                <w:b/>
                <w:bCs/>
                <w:caps/>
                <w:color w:val="FFFFFF"/>
                <w:sz w:val="20"/>
                <w:szCs w:val="20"/>
              </w:rPr>
              <w:t>☐</w:t>
            </w:r>
          </w:p>
        </w:tc>
      </w:tr>
      <w:tr w:rsidR="00FA2991" w14:paraId="57162FF4" w14:textId="77777777" w:rsidTr="00FA299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55646B35" w14:textId="7777777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r w:rsidRPr="00FA2991">
              <w:rPr>
                <w:rFonts w:ascii="Trebuchet MS" w:eastAsia="Times New Roman" w:hAnsi="Trebuchet MS" w:cs="Times New Roman"/>
                <w:b/>
                <w:bCs/>
                <w:caps/>
                <w:color w:val="FFFFFF"/>
                <w:sz w:val="20"/>
                <w:szCs w:val="20"/>
              </w:rPr>
              <w:t>Alliance for a Healthy South Sound LIO Technical Team</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0871AF6B" w14:textId="7777777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r w:rsidRPr="00FA2991">
              <w:rPr>
                <w:rFonts w:ascii="Segoe UI Symbol" w:eastAsia="Times New Roman" w:hAnsi="Segoe UI Symbol" w:cs="Segoe UI Symbol"/>
                <w:b/>
                <w:bCs/>
                <w:caps/>
                <w:color w:val="FFFFFF"/>
                <w:sz w:val="20"/>
                <w:szCs w:val="20"/>
              </w:rPr>
              <w:t>☒</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tcPr>
          <w:p w14:paraId="0C634336" w14:textId="77777777" w:rsidR="00FA2991" w:rsidRPr="00FA2991" w:rsidRDefault="00FA2991" w:rsidP="00FA2991">
            <w:pPr>
              <w:spacing w:after="0" w:line="240" w:lineRule="atLeast"/>
              <w:jc w:val="center"/>
              <w:rPr>
                <w:rFonts w:ascii="Trebuchet MS" w:eastAsia="Times New Roman" w:hAnsi="Trebuchet MS" w:cs="Times New Roman"/>
                <w:b/>
                <w:bCs/>
                <w:caps/>
                <w:color w:val="FFFFFF"/>
                <w:sz w:val="20"/>
                <w:szCs w:val="20"/>
              </w:rPr>
            </w:pPr>
            <w:r w:rsidRPr="00FA2991">
              <w:rPr>
                <w:rFonts w:ascii="Segoe UI Symbol" w:eastAsia="Times New Roman" w:hAnsi="Segoe UI Symbol" w:cs="Segoe UI Symbol"/>
                <w:b/>
                <w:bCs/>
                <w:caps/>
                <w:color w:val="FFFFFF"/>
                <w:sz w:val="20"/>
                <w:szCs w:val="20"/>
              </w:rPr>
              <w:t>☐</w:t>
            </w:r>
          </w:p>
        </w:tc>
      </w:tr>
    </w:tbl>
    <w:p w14:paraId="095EDBBC" w14:textId="77777777" w:rsidR="00FA2991" w:rsidRDefault="00FA2991" w:rsidP="005245A4">
      <w:pPr>
        <w:pBdr>
          <w:bottom w:val="single" w:sz="12" w:space="0" w:color="003A5D"/>
        </w:pBdr>
        <w:spacing w:before="150" w:after="150" w:line="240" w:lineRule="auto"/>
        <w:outlineLvl w:val="0"/>
        <w:rPr>
          <w:rFonts w:ascii="Trebuchet MS" w:eastAsia="Times New Roman" w:hAnsi="Trebuchet MS" w:cs="Times New Roman"/>
          <w:b/>
          <w:bCs/>
          <w:caps/>
          <w:color w:val="003A5D"/>
          <w:kern w:val="36"/>
          <w:sz w:val="28"/>
          <w:szCs w:val="28"/>
        </w:rPr>
      </w:pPr>
    </w:p>
    <w:p w14:paraId="151C35D2" w14:textId="77777777" w:rsidR="00FA2991" w:rsidRDefault="00FA2991" w:rsidP="00FA2991">
      <w:pPr>
        <w:spacing w:before="150" w:after="150" w:line="240" w:lineRule="auto"/>
        <w:outlineLvl w:val="0"/>
        <w:rPr>
          <w:rFonts w:ascii="Trebuchet MS" w:eastAsia="Times New Roman" w:hAnsi="Trebuchet MS" w:cs="Times New Roman"/>
          <w:b/>
          <w:bCs/>
          <w:caps/>
          <w:color w:val="003A5D"/>
          <w:kern w:val="36"/>
          <w:sz w:val="28"/>
          <w:szCs w:val="28"/>
        </w:rPr>
        <w:sectPr w:rsidR="00FA2991" w:rsidSect="00A97A55">
          <w:pgSz w:w="15840" w:h="12240" w:orient="landscape"/>
          <w:pgMar w:top="1440" w:right="1440" w:bottom="1440" w:left="1440" w:header="720" w:footer="720" w:gutter="0"/>
          <w:pgNumType w:chapStyle="1"/>
          <w:cols w:space="720"/>
          <w:docGrid w:linePitch="360"/>
        </w:sectPr>
      </w:pPr>
    </w:p>
    <w:p w14:paraId="3D38E9C6" w14:textId="2B87D5A7" w:rsidR="00B968DB" w:rsidRPr="00B968DB" w:rsidRDefault="00B968DB" w:rsidP="005245A4">
      <w:pPr>
        <w:pBdr>
          <w:bottom w:val="single" w:sz="12" w:space="0" w:color="003A5D"/>
        </w:pBdr>
        <w:spacing w:before="150" w:after="150" w:line="240" w:lineRule="auto"/>
        <w:outlineLvl w:val="0"/>
        <w:rPr>
          <w:rFonts w:ascii="Trebuchet MS" w:eastAsia="Times New Roman" w:hAnsi="Trebuchet MS" w:cs="Times New Roman"/>
          <w:b/>
          <w:bCs/>
          <w:caps/>
          <w:color w:val="003A5D"/>
          <w:kern w:val="36"/>
          <w:sz w:val="28"/>
          <w:szCs w:val="28"/>
        </w:rPr>
      </w:pPr>
      <w:r w:rsidRPr="00B968DB">
        <w:rPr>
          <w:rFonts w:ascii="Trebuchet MS" w:eastAsia="Times New Roman" w:hAnsi="Trebuchet MS" w:cs="Times New Roman"/>
          <w:b/>
          <w:bCs/>
          <w:caps/>
          <w:color w:val="003A5D"/>
          <w:kern w:val="36"/>
          <w:sz w:val="28"/>
          <w:szCs w:val="28"/>
        </w:rPr>
        <w:t>1.0 LIO OVERVIEW</w:t>
      </w:r>
      <w:bookmarkEnd w:id="6"/>
    </w:p>
    <w:p w14:paraId="2498D33B" w14:textId="3D521D54" w:rsidR="00CC17BD" w:rsidRPr="005F2213" w:rsidRDefault="00CC17BD" w:rsidP="00B968DB">
      <w:pPr>
        <w:spacing w:after="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South Puget Sound is the southern end of the larger Puget Sound fjord estuary complex, separated from central Puget Sound by a narrow, shallow sill associated with the Tacoma Narrows.</w:t>
      </w:r>
    </w:p>
    <w:p w14:paraId="56742E22" w14:textId="77777777" w:rsidR="00CC17BD" w:rsidRPr="005F2213" w:rsidRDefault="00CC17BD" w:rsidP="00CC17BD">
      <w:pPr>
        <w:spacing w:after="0" w:line="240" w:lineRule="auto"/>
        <w:rPr>
          <w:rFonts w:ascii="Arial" w:eastAsia="Times New Roman" w:hAnsi="Arial" w:cs="Arial"/>
          <w:color w:val="003A5D"/>
          <w:sz w:val="20"/>
          <w:szCs w:val="20"/>
        </w:rPr>
      </w:pPr>
    </w:p>
    <w:p w14:paraId="421F4B2C" w14:textId="29E878EF" w:rsidR="00CC17BD" w:rsidRPr="005F2213" w:rsidRDefault="00CC17BD" w:rsidP="00CC17BD">
      <w:pPr>
        <w:spacing w:after="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 xml:space="preserve">The Deschutes River and the Nisqually River are the major river systems in South Puget Sound. In much of the South Sound, steep bluffs bordering Puget Sound are intersected by small, steep ravines that drain the upland areas. There are a number of estuarine bays and lagoons </w:t>
      </w:r>
      <w:r w:rsidRPr="005F2213">
        <w:rPr>
          <w:rFonts w:ascii="Arial" w:eastAsia="Times New Roman" w:hAnsi="Arial" w:cs="Arial"/>
          <w:color w:val="003A5D"/>
          <w:sz w:val="20"/>
          <w:szCs w:val="20"/>
        </w:rPr>
        <w:lastRenderedPageBreak/>
        <w:t>located along the shorelines where these streams intersect with Puget Sound. When combined, the numerous streams that drain into South Puget Sound rival the biological output of large Puget Sound river systems.</w:t>
      </w:r>
    </w:p>
    <w:p w14:paraId="7956F57E" w14:textId="77777777" w:rsidR="00CC17BD" w:rsidRPr="005F2213" w:rsidRDefault="00CC17BD" w:rsidP="00CC17BD">
      <w:pPr>
        <w:spacing w:after="0" w:line="240" w:lineRule="auto"/>
        <w:rPr>
          <w:rFonts w:ascii="Arial" w:eastAsia="Times New Roman" w:hAnsi="Arial" w:cs="Arial"/>
          <w:color w:val="003A5D"/>
          <w:sz w:val="20"/>
          <w:szCs w:val="20"/>
        </w:rPr>
      </w:pPr>
      <w:bookmarkStart w:id="7" w:name="_adm8rvlemco4" w:colFirst="0" w:colLast="0"/>
      <w:bookmarkStart w:id="8" w:name="_ceqmn9tm4qzs" w:colFirst="0" w:colLast="0"/>
      <w:bookmarkEnd w:id="7"/>
      <w:bookmarkEnd w:id="8"/>
    </w:p>
    <w:p w14:paraId="4FC22B81" w14:textId="5A90A000" w:rsidR="00CC17BD" w:rsidRPr="005F2213" w:rsidRDefault="00CC17BD" w:rsidP="00CC17BD">
      <w:pPr>
        <w:spacing w:after="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The total surface area of marine waters in South Puget Sound is approximately 394 square kilometers, and there are nearly 450 miles of shoreline. More than 50% of South Puget Sound is less than 35 meters deep, and only a very small percentage is deeper than 100 meters. Tidal ranges in South Sound are extensive, with maximum ranges upwards of 20 feet.</w:t>
      </w:r>
    </w:p>
    <w:p w14:paraId="309D75C6" w14:textId="77777777" w:rsidR="00CC17BD" w:rsidRPr="005F2213" w:rsidRDefault="00CC17BD" w:rsidP="00CC17BD">
      <w:pPr>
        <w:spacing w:after="0" w:line="240" w:lineRule="auto"/>
        <w:rPr>
          <w:rFonts w:ascii="Arial" w:eastAsia="Times New Roman" w:hAnsi="Arial" w:cs="Arial"/>
          <w:color w:val="003A5D"/>
          <w:sz w:val="20"/>
          <w:szCs w:val="20"/>
        </w:rPr>
      </w:pPr>
      <w:bookmarkStart w:id="9" w:name="_u638ibe1e6u0" w:colFirst="0" w:colLast="0"/>
      <w:bookmarkStart w:id="10" w:name="_y6w1cw67yc1w" w:colFirst="0" w:colLast="0"/>
      <w:bookmarkEnd w:id="9"/>
      <w:bookmarkEnd w:id="10"/>
    </w:p>
    <w:p w14:paraId="670BC1F0" w14:textId="554A12F8" w:rsidR="00CC17BD" w:rsidRPr="005F2213" w:rsidRDefault="00CC17BD" w:rsidP="00CC17BD">
      <w:pPr>
        <w:spacing w:after="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 xml:space="preserve">Hydrographically, South Puget Sound is very different from the main basin of Puget Sound. Many of the larger-scale physical and chemical processes found in greater Puget Sound are muted or accentuated in the South Sound due to the shallow sill at the Tacoma Narrows. This presents a unique set of conditions for physical, chemical, and biological interactions. Much of the South Sound has slow circulation and sensitivity to nutrients, causing a trend to low dissolved oxygen.  In addition, the shallow nature of South Puget Sound provides a greater amount of sandy and intertidal habitat, which makes many of the bays and inlets more productive than the rest of Puget Sound.  </w:t>
      </w:r>
    </w:p>
    <w:p w14:paraId="1F4E8DAB" w14:textId="77777777" w:rsidR="00CC17BD" w:rsidRPr="005F2213" w:rsidRDefault="00CC17BD" w:rsidP="00CC17BD">
      <w:pPr>
        <w:spacing w:after="0" w:line="240" w:lineRule="auto"/>
        <w:rPr>
          <w:rFonts w:ascii="Arial" w:eastAsia="Times New Roman" w:hAnsi="Arial" w:cs="Arial"/>
          <w:color w:val="003A5D"/>
          <w:sz w:val="20"/>
          <w:szCs w:val="20"/>
        </w:rPr>
      </w:pPr>
      <w:bookmarkStart w:id="11" w:name="_htr0t6dicges" w:colFirst="0" w:colLast="0"/>
      <w:bookmarkStart w:id="12" w:name="_a3cdven8wibc" w:colFirst="0" w:colLast="0"/>
      <w:bookmarkEnd w:id="11"/>
      <w:bookmarkEnd w:id="12"/>
    </w:p>
    <w:p w14:paraId="491BF85E" w14:textId="404B2EC8" w:rsidR="00CC17BD" w:rsidRPr="005F2213" w:rsidRDefault="00CC17BD" w:rsidP="00CC17BD">
      <w:pPr>
        <w:spacing w:after="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Five Watershed Resource Inventory Areas (WRIA) drain into South Puget Sound:</w:t>
      </w:r>
    </w:p>
    <w:p w14:paraId="5114025E" w14:textId="77777777" w:rsidR="00CC17BD" w:rsidRPr="005F2213" w:rsidRDefault="00CC17BD" w:rsidP="005F2213">
      <w:pPr>
        <w:numPr>
          <w:ilvl w:val="0"/>
          <w:numId w:val="14"/>
        </w:numPr>
        <w:spacing w:line="276" w:lineRule="auto"/>
        <w:ind w:hanging="360"/>
        <w:contextualSpacing/>
        <w:rPr>
          <w:rFonts w:ascii="Arial" w:eastAsia="Times New Roman" w:hAnsi="Arial" w:cs="Arial"/>
          <w:color w:val="003A5D"/>
          <w:sz w:val="20"/>
          <w:szCs w:val="20"/>
        </w:rPr>
      </w:pPr>
      <w:bookmarkStart w:id="13" w:name="_xplu0p5dosj9" w:colFirst="0" w:colLast="0"/>
      <w:bookmarkEnd w:id="13"/>
      <w:r w:rsidRPr="005F2213">
        <w:rPr>
          <w:rFonts w:ascii="Arial" w:eastAsia="Times New Roman" w:hAnsi="Arial" w:cs="Arial"/>
          <w:color w:val="003A5D"/>
          <w:sz w:val="20"/>
          <w:szCs w:val="20"/>
        </w:rPr>
        <w:t>WRIA 11 – Nisqually</w:t>
      </w:r>
    </w:p>
    <w:p w14:paraId="07ABB049" w14:textId="77777777" w:rsidR="00CC17BD" w:rsidRPr="005F2213" w:rsidRDefault="00CC17BD" w:rsidP="005F2213">
      <w:pPr>
        <w:numPr>
          <w:ilvl w:val="0"/>
          <w:numId w:val="14"/>
        </w:numPr>
        <w:spacing w:line="276" w:lineRule="auto"/>
        <w:ind w:hanging="360"/>
        <w:contextualSpacing/>
        <w:rPr>
          <w:rFonts w:ascii="Arial" w:eastAsia="Times New Roman" w:hAnsi="Arial" w:cs="Arial"/>
          <w:color w:val="003A5D"/>
          <w:sz w:val="20"/>
          <w:szCs w:val="20"/>
        </w:rPr>
      </w:pPr>
      <w:bookmarkStart w:id="14" w:name="_zcqr0ui0hkoi" w:colFirst="0" w:colLast="0"/>
      <w:bookmarkEnd w:id="14"/>
      <w:r w:rsidRPr="005F2213">
        <w:rPr>
          <w:rFonts w:ascii="Arial" w:eastAsia="Times New Roman" w:hAnsi="Arial" w:cs="Arial"/>
          <w:color w:val="003A5D"/>
          <w:sz w:val="20"/>
          <w:szCs w:val="20"/>
        </w:rPr>
        <w:t>WRIA 12 – Chambers-Clover</w:t>
      </w:r>
    </w:p>
    <w:p w14:paraId="609695B8" w14:textId="77777777" w:rsidR="00CC17BD" w:rsidRPr="005F2213" w:rsidRDefault="00CC17BD" w:rsidP="005F2213">
      <w:pPr>
        <w:numPr>
          <w:ilvl w:val="0"/>
          <w:numId w:val="14"/>
        </w:numPr>
        <w:spacing w:line="276" w:lineRule="auto"/>
        <w:ind w:hanging="360"/>
        <w:contextualSpacing/>
        <w:rPr>
          <w:rFonts w:ascii="Arial" w:eastAsia="Times New Roman" w:hAnsi="Arial" w:cs="Arial"/>
          <w:color w:val="003A5D"/>
          <w:sz w:val="20"/>
          <w:szCs w:val="20"/>
        </w:rPr>
      </w:pPr>
      <w:bookmarkStart w:id="15" w:name="_xfk46pla3vrf" w:colFirst="0" w:colLast="0"/>
      <w:bookmarkEnd w:id="15"/>
      <w:r w:rsidRPr="005F2213">
        <w:rPr>
          <w:rFonts w:ascii="Arial" w:eastAsia="Times New Roman" w:hAnsi="Arial" w:cs="Arial"/>
          <w:color w:val="003A5D"/>
          <w:sz w:val="20"/>
          <w:szCs w:val="20"/>
        </w:rPr>
        <w:t>WRIA 13 – Deschutes</w:t>
      </w:r>
    </w:p>
    <w:p w14:paraId="0BFA8C56" w14:textId="77777777" w:rsidR="00CC17BD" w:rsidRPr="005F2213" w:rsidRDefault="00CC17BD" w:rsidP="005F2213">
      <w:pPr>
        <w:numPr>
          <w:ilvl w:val="0"/>
          <w:numId w:val="14"/>
        </w:numPr>
        <w:spacing w:line="276" w:lineRule="auto"/>
        <w:ind w:hanging="360"/>
        <w:contextualSpacing/>
        <w:rPr>
          <w:rFonts w:ascii="Arial" w:eastAsia="Times New Roman" w:hAnsi="Arial" w:cs="Arial"/>
          <w:color w:val="003A5D"/>
          <w:sz w:val="20"/>
          <w:szCs w:val="20"/>
        </w:rPr>
      </w:pPr>
      <w:bookmarkStart w:id="16" w:name="_wwskpdy98awt" w:colFirst="0" w:colLast="0"/>
      <w:bookmarkEnd w:id="16"/>
      <w:r w:rsidRPr="005F2213">
        <w:rPr>
          <w:rFonts w:ascii="Arial" w:eastAsia="Times New Roman" w:hAnsi="Arial" w:cs="Arial"/>
          <w:color w:val="003A5D"/>
          <w:sz w:val="20"/>
          <w:szCs w:val="20"/>
        </w:rPr>
        <w:t>WRIA 14 – Kennedy-Goldsborough</w:t>
      </w:r>
    </w:p>
    <w:p w14:paraId="25E68693" w14:textId="77777777" w:rsidR="00CC17BD" w:rsidRPr="005F2213" w:rsidRDefault="00CC17BD" w:rsidP="005F2213">
      <w:pPr>
        <w:numPr>
          <w:ilvl w:val="0"/>
          <w:numId w:val="14"/>
        </w:numPr>
        <w:spacing w:line="276" w:lineRule="auto"/>
        <w:ind w:hanging="360"/>
        <w:contextualSpacing/>
        <w:rPr>
          <w:rFonts w:ascii="Arial" w:eastAsia="Times New Roman" w:hAnsi="Arial" w:cs="Arial"/>
          <w:color w:val="003A5D"/>
          <w:sz w:val="20"/>
          <w:szCs w:val="20"/>
        </w:rPr>
      </w:pPr>
      <w:bookmarkStart w:id="17" w:name="_wzhuw3be5qkv" w:colFirst="0" w:colLast="0"/>
      <w:bookmarkEnd w:id="17"/>
      <w:r w:rsidRPr="005F2213">
        <w:rPr>
          <w:rFonts w:ascii="Arial" w:eastAsia="Times New Roman" w:hAnsi="Arial" w:cs="Arial"/>
          <w:color w:val="003A5D"/>
          <w:sz w:val="20"/>
          <w:szCs w:val="20"/>
        </w:rPr>
        <w:t>WRIA 15 – Kitsap</w:t>
      </w:r>
    </w:p>
    <w:p w14:paraId="17C58C3F" w14:textId="77777777" w:rsidR="00CC17BD" w:rsidRPr="005F2213" w:rsidRDefault="00CC17BD" w:rsidP="00CC17BD">
      <w:pPr>
        <w:spacing w:after="0" w:line="240" w:lineRule="auto"/>
        <w:rPr>
          <w:rFonts w:ascii="Arial" w:eastAsia="Times New Roman" w:hAnsi="Arial" w:cs="Arial"/>
          <w:color w:val="003A5D"/>
          <w:sz w:val="20"/>
          <w:szCs w:val="20"/>
        </w:rPr>
      </w:pPr>
      <w:bookmarkStart w:id="18" w:name="_fddc225s0f6y" w:colFirst="0" w:colLast="0"/>
      <w:bookmarkStart w:id="19" w:name="_sempv9ty8qjg" w:colFirst="0" w:colLast="0"/>
      <w:bookmarkEnd w:id="18"/>
      <w:bookmarkEnd w:id="19"/>
      <w:r w:rsidRPr="005F2213">
        <w:rPr>
          <w:rFonts w:ascii="Arial" w:eastAsia="Times New Roman" w:hAnsi="Arial" w:cs="Arial"/>
          <w:color w:val="003A5D"/>
          <w:sz w:val="20"/>
          <w:szCs w:val="20"/>
        </w:rPr>
        <w:t>Of these five WRIA, only the Nisqually, Deschutes, and Kennedy-Goldsborough WRIA drain exclusively into South Puget Sound. WRIA 15-Kitsap shares its drainage with Central Puget Sound north of the Tacoma Narrows and Hood Canal. WRIA 12 - Chambers-Clover also extends north of the Tacoma Narrows to Commencement Bay.</w:t>
      </w:r>
    </w:p>
    <w:p w14:paraId="76BB4EB8" w14:textId="77777777" w:rsidR="00CC17BD" w:rsidRPr="005F2213" w:rsidRDefault="00CC17BD" w:rsidP="00CC17BD">
      <w:pPr>
        <w:spacing w:after="0" w:line="240" w:lineRule="auto"/>
        <w:rPr>
          <w:rFonts w:ascii="Arial" w:eastAsia="Times New Roman" w:hAnsi="Arial" w:cs="Arial"/>
          <w:color w:val="003A5D"/>
          <w:sz w:val="20"/>
          <w:szCs w:val="20"/>
        </w:rPr>
      </w:pPr>
      <w:bookmarkStart w:id="20" w:name="_u8aums5jiub" w:colFirst="0" w:colLast="0"/>
      <w:bookmarkStart w:id="21" w:name="_43oc1lg919gt" w:colFirst="0" w:colLast="0"/>
      <w:bookmarkEnd w:id="20"/>
      <w:bookmarkEnd w:id="21"/>
    </w:p>
    <w:p w14:paraId="10A2145F" w14:textId="5412F7DA" w:rsidR="00CC17BD" w:rsidRPr="005F2213" w:rsidRDefault="00CC17BD" w:rsidP="00CC17BD">
      <w:pPr>
        <w:spacing w:after="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Because of its stable and diverse economy, high quality of life, and relatively lower cost of living, South Puget Sound is among the fastest growing areas in Washington State. Between 2000 and 2010, the populations of Mason and Thurston Counties grew by 22%, the 4th and 6th highest rates of growth among Washington State counties during that time; Pierce County grew at 14%. Between 2015 and 2040, the Office of Financial Management projects a population growth rate of 34% for Mason and Thurston Counties, and a growth rate of 25% for Pierce County.</w:t>
      </w:r>
    </w:p>
    <w:p w14:paraId="34F43EEE" w14:textId="77777777" w:rsidR="00CC17BD" w:rsidRPr="005F2213" w:rsidRDefault="00CC17BD" w:rsidP="00CC17BD">
      <w:pPr>
        <w:spacing w:after="0" w:line="240" w:lineRule="auto"/>
        <w:rPr>
          <w:rFonts w:ascii="Arial" w:eastAsia="Times New Roman" w:hAnsi="Arial" w:cs="Arial"/>
          <w:color w:val="003A5D"/>
          <w:sz w:val="20"/>
          <w:szCs w:val="20"/>
        </w:rPr>
      </w:pPr>
      <w:bookmarkStart w:id="22" w:name="_3rkmgk1z732v" w:colFirst="0" w:colLast="0"/>
      <w:bookmarkStart w:id="23" w:name="_nyx9huvywvvy" w:colFirst="0" w:colLast="0"/>
      <w:bookmarkEnd w:id="22"/>
      <w:bookmarkEnd w:id="23"/>
      <w:r w:rsidRPr="005F2213">
        <w:rPr>
          <w:rFonts w:ascii="Arial" w:eastAsia="Times New Roman" w:hAnsi="Arial" w:cs="Arial"/>
          <w:color w:val="003A5D"/>
          <w:sz w:val="20"/>
          <w:szCs w:val="20"/>
        </w:rPr>
        <w:t>Much of the population in South Sound is clustered in and around the towns and cities of Shelton, Olympia, Lacey, Tumwater, Steilacoom, University Place, Lakewood, Tacoma, DuPont, the community of Allyn, and along shorelines. Land use varies from urban populations to rural and mixed use.</w:t>
      </w:r>
    </w:p>
    <w:p w14:paraId="56AA65FA" w14:textId="77777777" w:rsidR="00CC17BD" w:rsidRPr="005F2213" w:rsidRDefault="00CC17BD" w:rsidP="00CC17BD">
      <w:pPr>
        <w:spacing w:after="0" w:line="240" w:lineRule="auto"/>
        <w:rPr>
          <w:rFonts w:ascii="Arial" w:eastAsia="Times New Roman" w:hAnsi="Arial" w:cs="Arial"/>
          <w:color w:val="003A5D"/>
          <w:sz w:val="20"/>
          <w:szCs w:val="20"/>
        </w:rPr>
      </w:pPr>
      <w:bookmarkStart w:id="24" w:name="_icazdbkl47l" w:colFirst="0" w:colLast="0"/>
      <w:bookmarkStart w:id="25" w:name="_qmopenf21yi7" w:colFirst="0" w:colLast="0"/>
      <w:bookmarkEnd w:id="24"/>
      <w:bookmarkEnd w:id="25"/>
    </w:p>
    <w:p w14:paraId="191EEFB4" w14:textId="667FFA18" w:rsidR="00CC17BD" w:rsidRPr="005F2213" w:rsidRDefault="00CC17BD" w:rsidP="00CC17BD">
      <w:pPr>
        <w:spacing w:after="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The waters of the South Sound provide some of the finest shellfish habitat in the world and present an array of recreational, commercial, and tribal harvest opportunities. Washington leads the country in production of farmed clams, oysters, and mussels, with an annual economic impact of over $185 million, and Washington shellfish growers directly and indirectly employ over 2,700 people. The commercial shellfish industry is thriving, demand is expanding in markets worldwide, and clean water is the essential catalyst for continued success. Recreational use of the shorelines for clam digging, swimming, boating, fishing, and beachcombing on state, county, city, and private beaches is popular.</w:t>
      </w:r>
    </w:p>
    <w:p w14:paraId="595B6494" w14:textId="77777777" w:rsidR="00546832" w:rsidRDefault="00546832" w:rsidP="00CC17BD">
      <w:pPr>
        <w:spacing w:after="0" w:line="240" w:lineRule="auto"/>
        <w:rPr>
          <w:rFonts w:ascii="Arial" w:eastAsia="Times New Roman" w:hAnsi="Arial" w:cs="Arial"/>
          <w:color w:val="003A5D"/>
          <w:sz w:val="20"/>
          <w:szCs w:val="20"/>
        </w:rPr>
      </w:pPr>
      <w:bookmarkStart w:id="26" w:name="_96j1zy16693g" w:colFirst="0" w:colLast="0"/>
      <w:bookmarkStart w:id="27" w:name="_24tntj6y39yu" w:colFirst="0" w:colLast="0"/>
      <w:bookmarkEnd w:id="26"/>
      <w:bookmarkEnd w:id="27"/>
    </w:p>
    <w:p w14:paraId="52DE8B8E" w14:textId="1880D5B3" w:rsidR="00CC17BD" w:rsidRPr="005F2213" w:rsidRDefault="00CC17BD" w:rsidP="00CC17BD">
      <w:pPr>
        <w:spacing w:after="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lastRenderedPageBreak/>
        <w:t>Use of marine waters and nearshore areas by juvenile salmon and trout rates high in South Puget Sound, not only for salmonids coming from freshwater systems in the area, but also during summer when salmon from elsewhere in Puget Sound, and even British Columbia, are known to feed in the rich South Sound.</w:t>
      </w:r>
    </w:p>
    <w:p w14:paraId="35520272" w14:textId="77777777" w:rsidR="00CC17BD" w:rsidRPr="005F2213" w:rsidRDefault="00CC17BD" w:rsidP="00CC17BD">
      <w:pPr>
        <w:spacing w:after="0" w:line="240" w:lineRule="auto"/>
        <w:rPr>
          <w:rFonts w:ascii="Arial" w:eastAsia="Times New Roman" w:hAnsi="Arial" w:cs="Arial"/>
          <w:color w:val="003A5D"/>
          <w:sz w:val="20"/>
          <w:szCs w:val="20"/>
        </w:rPr>
      </w:pPr>
      <w:bookmarkStart w:id="28" w:name="_j8flc9p4lfr0" w:colFirst="0" w:colLast="0"/>
      <w:bookmarkStart w:id="29" w:name="_epx12ptz8gso" w:colFirst="0" w:colLast="0"/>
      <w:bookmarkEnd w:id="28"/>
      <w:bookmarkEnd w:id="29"/>
    </w:p>
    <w:p w14:paraId="3E9CA525" w14:textId="32DF2317" w:rsidR="00CC17BD" w:rsidRPr="005F2213" w:rsidRDefault="00CC17BD" w:rsidP="00CC17BD">
      <w:pPr>
        <w:spacing w:after="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The Alliance for a Healthy South Sound (AHSS) Executive Committee is comprised of representatives from the following organizations:</w:t>
      </w:r>
    </w:p>
    <w:p w14:paraId="65CCE767" w14:textId="77777777" w:rsidR="005F2213" w:rsidRDefault="005F2213" w:rsidP="00CC17BD">
      <w:pPr>
        <w:numPr>
          <w:ilvl w:val="0"/>
          <w:numId w:val="14"/>
        </w:numPr>
        <w:spacing w:line="276" w:lineRule="auto"/>
        <w:ind w:hanging="360"/>
        <w:contextualSpacing/>
        <w:rPr>
          <w:rFonts w:ascii="Arial" w:eastAsia="Times New Roman" w:hAnsi="Arial" w:cs="Arial"/>
          <w:color w:val="003A5D"/>
          <w:sz w:val="20"/>
          <w:szCs w:val="20"/>
        </w:rPr>
        <w:sectPr w:rsidR="005F2213" w:rsidSect="00546832">
          <w:type w:val="continuous"/>
          <w:pgSz w:w="15840" w:h="12240" w:orient="landscape"/>
          <w:pgMar w:top="1440" w:right="1440" w:bottom="1440" w:left="1440" w:header="720" w:footer="720" w:gutter="0"/>
          <w:cols w:space="720"/>
          <w:docGrid w:linePitch="360"/>
        </w:sectPr>
      </w:pPr>
      <w:bookmarkStart w:id="30" w:name="_5eiayxbm0wzd" w:colFirst="0" w:colLast="0"/>
      <w:bookmarkEnd w:id="30"/>
    </w:p>
    <w:p w14:paraId="1A785F20" w14:textId="3CD22B1E" w:rsidR="00CC17BD" w:rsidRPr="005F2213" w:rsidRDefault="00CC17BD" w:rsidP="00CC17BD">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Nisqually Indian Tribe</w:t>
      </w:r>
    </w:p>
    <w:p w14:paraId="16E60A92" w14:textId="77777777" w:rsidR="00CC17BD" w:rsidRPr="005F2213" w:rsidRDefault="00CC17BD" w:rsidP="00CC17BD">
      <w:pPr>
        <w:numPr>
          <w:ilvl w:val="0"/>
          <w:numId w:val="14"/>
        </w:numPr>
        <w:spacing w:line="276" w:lineRule="auto"/>
        <w:ind w:hanging="360"/>
        <w:contextualSpacing/>
        <w:rPr>
          <w:rFonts w:ascii="Arial" w:eastAsia="Times New Roman" w:hAnsi="Arial" w:cs="Arial"/>
          <w:color w:val="003A5D"/>
          <w:sz w:val="20"/>
          <w:szCs w:val="20"/>
        </w:rPr>
      </w:pPr>
      <w:bookmarkStart w:id="31" w:name="_fx1s9q3y8o4d" w:colFirst="0" w:colLast="0"/>
      <w:bookmarkEnd w:id="31"/>
      <w:r w:rsidRPr="005F2213">
        <w:rPr>
          <w:rFonts w:ascii="Arial" w:eastAsia="Times New Roman" w:hAnsi="Arial" w:cs="Arial"/>
          <w:color w:val="003A5D"/>
          <w:sz w:val="20"/>
          <w:szCs w:val="20"/>
        </w:rPr>
        <w:t>Mason County</w:t>
      </w:r>
    </w:p>
    <w:p w14:paraId="12304282" w14:textId="77777777" w:rsidR="00CC17BD" w:rsidRPr="005F2213" w:rsidRDefault="00CC17BD" w:rsidP="00CC17BD">
      <w:pPr>
        <w:numPr>
          <w:ilvl w:val="0"/>
          <w:numId w:val="14"/>
        </w:numPr>
        <w:spacing w:line="276" w:lineRule="auto"/>
        <w:ind w:hanging="360"/>
        <w:contextualSpacing/>
        <w:rPr>
          <w:rFonts w:ascii="Arial" w:eastAsia="Times New Roman" w:hAnsi="Arial" w:cs="Arial"/>
          <w:color w:val="003A5D"/>
          <w:sz w:val="20"/>
          <w:szCs w:val="20"/>
        </w:rPr>
      </w:pPr>
      <w:bookmarkStart w:id="32" w:name="_jaelvdks9nu1" w:colFirst="0" w:colLast="0"/>
      <w:bookmarkEnd w:id="32"/>
      <w:r w:rsidRPr="005F2213">
        <w:rPr>
          <w:rFonts w:ascii="Arial" w:eastAsia="Times New Roman" w:hAnsi="Arial" w:cs="Arial"/>
          <w:color w:val="003A5D"/>
          <w:sz w:val="20"/>
          <w:szCs w:val="20"/>
        </w:rPr>
        <w:t>Pierce County</w:t>
      </w:r>
    </w:p>
    <w:p w14:paraId="607422EE" w14:textId="77777777" w:rsidR="00CC17BD" w:rsidRPr="005F2213" w:rsidRDefault="00CC17BD" w:rsidP="00CC17BD">
      <w:pPr>
        <w:numPr>
          <w:ilvl w:val="0"/>
          <w:numId w:val="14"/>
        </w:numPr>
        <w:spacing w:line="276" w:lineRule="auto"/>
        <w:ind w:hanging="360"/>
        <w:contextualSpacing/>
        <w:rPr>
          <w:rFonts w:ascii="Arial" w:eastAsia="Times New Roman" w:hAnsi="Arial" w:cs="Arial"/>
          <w:color w:val="003A5D"/>
          <w:sz w:val="20"/>
          <w:szCs w:val="20"/>
        </w:rPr>
      </w:pPr>
      <w:bookmarkStart w:id="33" w:name="_p05avcnuuvi6" w:colFirst="0" w:colLast="0"/>
      <w:bookmarkEnd w:id="33"/>
      <w:r w:rsidRPr="005F2213">
        <w:rPr>
          <w:rFonts w:ascii="Arial" w:eastAsia="Times New Roman" w:hAnsi="Arial" w:cs="Arial"/>
          <w:color w:val="003A5D"/>
          <w:sz w:val="20"/>
          <w:szCs w:val="20"/>
        </w:rPr>
        <w:t>Squaxin Island Tribe</w:t>
      </w:r>
    </w:p>
    <w:p w14:paraId="626CFD05" w14:textId="77777777" w:rsidR="00CC17BD" w:rsidRPr="005F2213" w:rsidRDefault="00CC17BD" w:rsidP="00CC17BD">
      <w:pPr>
        <w:numPr>
          <w:ilvl w:val="0"/>
          <w:numId w:val="14"/>
        </w:numPr>
        <w:spacing w:line="276" w:lineRule="auto"/>
        <w:ind w:hanging="360"/>
        <w:contextualSpacing/>
        <w:rPr>
          <w:rFonts w:ascii="Arial" w:eastAsia="Times New Roman" w:hAnsi="Arial" w:cs="Arial"/>
          <w:color w:val="003A5D"/>
          <w:sz w:val="20"/>
          <w:szCs w:val="20"/>
        </w:rPr>
      </w:pPr>
      <w:bookmarkStart w:id="34" w:name="_qdmk15rrl9zr" w:colFirst="0" w:colLast="0"/>
      <w:bookmarkEnd w:id="34"/>
      <w:r w:rsidRPr="005F2213">
        <w:rPr>
          <w:rFonts w:ascii="Arial" w:eastAsia="Times New Roman" w:hAnsi="Arial" w:cs="Arial"/>
          <w:color w:val="003A5D"/>
          <w:sz w:val="20"/>
          <w:szCs w:val="20"/>
        </w:rPr>
        <w:t>Thurston County</w:t>
      </w:r>
      <w:bookmarkStart w:id="35" w:name="_ihg5hcjn4s8m" w:colFirst="0" w:colLast="0"/>
      <w:bookmarkEnd w:id="35"/>
    </w:p>
    <w:p w14:paraId="6BAA6ADE" w14:textId="77777777" w:rsidR="00546832" w:rsidRDefault="00546832" w:rsidP="005F2213">
      <w:pPr>
        <w:spacing w:line="276" w:lineRule="auto"/>
        <w:contextualSpacing/>
        <w:rPr>
          <w:rFonts w:ascii="Arial" w:eastAsia="Times New Roman" w:hAnsi="Arial" w:cs="Arial"/>
          <w:color w:val="003A5D"/>
          <w:sz w:val="20"/>
          <w:szCs w:val="20"/>
        </w:rPr>
        <w:sectPr w:rsidR="00546832" w:rsidSect="00546832">
          <w:type w:val="continuous"/>
          <w:pgSz w:w="15840" w:h="12240" w:orient="landscape"/>
          <w:pgMar w:top="1440" w:right="1440" w:bottom="1440" w:left="1440" w:header="720" w:footer="720" w:gutter="0"/>
          <w:cols w:num="2" w:space="720"/>
          <w:docGrid w:linePitch="360"/>
        </w:sectPr>
      </w:pPr>
      <w:bookmarkStart w:id="36" w:name="_ek7u2xlswkdx" w:colFirst="0" w:colLast="0"/>
      <w:bookmarkEnd w:id="36"/>
    </w:p>
    <w:p w14:paraId="014247AB" w14:textId="222E777B" w:rsidR="005F2213" w:rsidRDefault="005F2213" w:rsidP="005F2213">
      <w:pPr>
        <w:spacing w:line="276" w:lineRule="auto"/>
        <w:contextualSpacing/>
        <w:rPr>
          <w:rFonts w:ascii="Arial" w:eastAsia="Times New Roman" w:hAnsi="Arial" w:cs="Arial"/>
          <w:color w:val="003A5D"/>
          <w:sz w:val="20"/>
          <w:szCs w:val="20"/>
        </w:rPr>
      </w:pPr>
    </w:p>
    <w:p w14:paraId="0A338CA0" w14:textId="3D22F5F3" w:rsidR="00CC17BD" w:rsidRPr="005F2213" w:rsidRDefault="00CC17BD" w:rsidP="005F2213">
      <w:pPr>
        <w:spacing w:line="276" w:lineRule="auto"/>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The AHSS Council consists of representatives from the following organizations:</w:t>
      </w:r>
    </w:p>
    <w:p w14:paraId="484BA922" w14:textId="77777777" w:rsidR="00546832" w:rsidRDefault="00546832">
      <w:pPr>
        <w:numPr>
          <w:ilvl w:val="0"/>
          <w:numId w:val="14"/>
        </w:numPr>
        <w:spacing w:line="276" w:lineRule="auto"/>
        <w:ind w:hanging="360"/>
        <w:contextualSpacing/>
        <w:rPr>
          <w:rFonts w:ascii="Arial" w:eastAsia="Times New Roman" w:hAnsi="Arial" w:cs="Arial"/>
          <w:color w:val="003A5D"/>
          <w:sz w:val="20"/>
          <w:szCs w:val="20"/>
        </w:rPr>
        <w:sectPr w:rsidR="00546832" w:rsidSect="00A10DE8">
          <w:type w:val="continuous"/>
          <w:pgSz w:w="15840" w:h="12240" w:orient="landscape"/>
          <w:pgMar w:top="1440" w:right="1440" w:bottom="1440" w:left="1440" w:header="720" w:footer="720" w:gutter="0"/>
          <w:cols w:space="720"/>
          <w:docGrid w:linePitch="360"/>
        </w:sectPr>
      </w:pPr>
      <w:bookmarkStart w:id="37" w:name="_1nvpcqv5z8l4" w:colFirst="0" w:colLast="0"/>
      <w:bookmarkStart w:id="38" w:name="_pzev6vb0ssc3" w:colFirst="0" w:colLast="0"/>
      <w:bookmarkStart w:id="39" w:name="_i9bgrxhv71ey" w:colFirst="0" w:colLast="0"/>
      <w:bookmarkStart w:id="40" w:name="_t4qq8m2724yb" w:colFirst="0" w:colLast="0"/>
      <w:bookmarkStart w:id="41" w:name="_j235mkxrg4l9" w:colFirst="0" w:colLast="0"/>
      <w:bookmarkStart w:id="42" w:name="_30k3x676fm97" w:colFirst="0" w:colLast="0"/>
      <w:bookmarkStart w:id="43" w:name="_lv3fqa97mpjx" w:colFirst="0" w:colLast="0"/>
      <w:bookmarkStart w:id="44" w:name="_rx0mpmjyjthv" w:colFirst="0" w:colLast="0"/>
      <w:bookmarkStart w:id="45" w:name="_arnux71p2evc" w:colFirst="0" w:colLast="0"/>
      <w:bookmarkStart w:id="46" w:name="_w7u4rp9oiuvo" w:colFirst="0" w:colLast="0"/>
      <w:bookmarkStart w:id="47" w:name="_9qwkjelchrdk" w:colFirst="0" w:colLast="0"/>
      <w:bookmarkStart w:id="48" w:name="_tqgqrv8z25g0" w:colFirst="0" w:colLast="0"/>
      <w:bookmarkStart w:id="49" w:name="_d2i4ys7eh8y5" w:colFirst="0" w:colLast="0"/>
      <w:bookmarkStart w:id="50" w:name="_pdbvrjsrjuj1" w:colFirst="0" w:colLast="0"/>
      <w:bookmarkStart w:id="51" w:name="_efq23e5p9cxi" w:colFirst="0" w:colLast="0"/>
      <w:bookmarkStart w:id="52" w:name="_gkl3twvxc534" w:colFirst="0" w:colLast="0"/>
      <w:bookmarkStart w:id="53" w:name="_8w24m59sv14k" w:colFirst="0" w:colLast="0"/>
      <w:bookmarkStart w:id="54" w:name="_5w2vg77w0cv1" w:colFirst="0" w:colLast="0"/>
      <w:bookmarkStart w:id="55" w:name="_r5kggti59y6y" w:colFirst="0" w:colLast="0"/>
      <w:bookmarkStart w:id="56" w:name="_v5ybxyci6nwf" w:colFirst="0" w:colLast="0"/>
      <w:bookmarkStart w:id="57" w:name="_x66njj2gko6s" w:colFirst="0" w:colLast="0"/>
      <w:bookmarkStart w:id="58" w:name="_2f1l75komlm3" w:colFirst="0" w:colLast="0"/>
      <w:bookmarkStart w:id="59" w:name="_82apu5pdkb5k" w:colFirst="0" w:colLast="0"/>
      <w:bookmarkStart w:id="60" w:name="_a7p5w24uxe3m" w:colFirst="0" w:colLast="0"/>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p>
    <w:p w14:paraId="74BFEA2E" w14:textId="03D2C7E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Capitol Lake Improvement &amp; Protection Association</w:t>
      </w:r>
    </w:p>
    <w:p w14:paraId="0187D3F6"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Chambers-Clover Creek Watershed Council</w:t>
      </w:r>
    </w:p>
    <w:p w14:paraId="52DB318C"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City of Tumwater</w:t>
      </w:r>
    </w:p>
    <w:p w14:paraId="3E08B601"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City of Olympia</w:t>
      </w:r>
    </w:p>
    <w:p w14:paraId="6F3B2A1D"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City of Lakewood</w:t>
      </w:r>
    </w:p>
    <w:p w14:paraId="4BCB8E00"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Deschutes Estuary Restoration Team</w:t>
      </w:r>
    </w:p>
    <w:p w14:paraId="5B136C64"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Ecosystem Coordination Board Representative (Ex Oficio)</w:t>
      </w:r>
    </w:p>
    <w:p w14:paraId="133222BB"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LOTT Clean Water Alliance</w:t>
      </w:r>
    </w:p>
    <w:p w14:paraId="056B10B7"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Mason County</w:t>
      </w:r>
    </w:p>
    <w:p w14:paraId="776CF978"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Mason Conservation District</w:t>
      </w:r>
    </w:p>
    <w:p w14:paraId="2AAB6B41"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Nisqually Indian Tribe</w:t>
      </w:r>
    </w:p>
    <w:p w14:paraId="0D3E5D6E"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Nisqually Land Trust</w:t>
      </w:r>
    </w:p>
    <w:p w14:paraId="2C92FD02"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Nisqually River Council</w:t>
      </w:r>
      <w:r w:rsidRPr="005F2213">
        <w:rPr>
          <w:rFonts w:ascii="Arial" w:eastAsia="Times New Roman" w:hAnsi="Arial" w:cs="Arial"/>
          <w:color w:val="003A5D"/>
          <w:sz w:val="20"/>
          <w:szCs w:val="20"/>
        </w:rPr>
        <w:tab/>
        <w:t>Oakland Bay Shellfish Protection Area</w:t>
      </w:r>
    </w:p>
    <w:p w14:paraId="1E010A79"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Pierce Conservation District</w:t>
      </w:r>
    </w:p>
    <w:p w14:paraId="28FB8825"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Pierce County</w:t>
      </w:r>
    </w:p>
    <w:p w14:paraId="54A2B228"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Port of Olympia</w:t>
      </w:r>
    </w:p>
    <w:p w14:paraId="009983A6"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South Puget Sound Salmon Enhancement Group</w:t>
      </w:r>
    </w:p>
    <w:p w14:paraId="1C5C25FD"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Squaxin Island Tribe</w:t>
      </w:r>
    </w:p>
    <w:p w14:paraId="162A149C"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Tacoma-Pierce County Public Health</w:t>
      </w:r>
    </w:p>
    <w:p w14:paraId="67655E67"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Taylor Shellfish</w:t>
      </w:r>
    </w:p>
    <w:p w14:paraId="36E380AE"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Thurston County</w:t>
      </w:r>
    </w:p>
    <w:p w14:paraId="50CC5A8B"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Thurston ECO Network</w:t>
      </w:r>
    </w:p>
    <w:p w14:paraId="4ABA5D56" w14:textId="77777777" w:rsidR="00290C9D" w:rsidRPr="005F2213" w:rsidRDefault="00290C9D" w:rsidP="00D5572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West Sound Watersheds Council</w:t>
      </w:r>
    </w:p>
    <w:p w14:paraId="1797F826" w14:textId="77777777" w:rsidR="00290C9D" w:rsidRPr="005F2213" w:rsidRDefault="00290C9D" w:rsidP="005F221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Wilcox Farms</w:t>
      </w:r>
    </w:p>
    <w:p w14:paraId="6E7322C5" w14:textId="2E7347D8" w:rsidR="00290C9D" w:rsidRPr="005F2213" w:rsidRDefault="00290C9D" w:rsidP="005F2213">
      <w:pPr>
        <w:numPr>
          <w:ilvl w:val="0"/>
          <w:numId w:val="14"/>
        </w:numPr>
        <w:spacing w:line="276" w:lineRule="auto"/>
        <w:ind w:hanging="360"/>
        <w:contextualSpacing/>
        <w:rPr>
          <w:rFonts w:ascii="Arial" w:eastAsia="Times New Roman" w:hAnsi="Arial" w:cs="Arial"/>
          <w:color w:val="003A5D"/>
          <w:sz w:val="20"/>
          <w:szCs w:val="20"/>
        </w:rPr>
      </w:pPr>
      <w:r w:rsidRPr="005F2213">
        <w:rPr>
          <w:rFonts w:ascii="Arial" w:eastAsia="Times New Roman" w:hAnsi="Arial" w:cs="Arial"/>
          <w:color w:val="003A5D"/>
          <w:sz w:val="20"/>
          <w:szCs w:val="20"/>
        </w:rPr>
        <w:t>WSU Extension</w:t>
      </w:r>
    </w:p>
    <w:p w14:paraId="4EC63A96" w14:textId="77777777" w:rsidR="00546832" w:rsidRDefault="00546832" w:rsidP="00B968DB">
      <w:pPr>
        <w:spacing w:after="0" w:line="240" w:lineRule="auto"/>
        <w:rPr>
          <w:rFonts w:ascii="Arial" w:eastAsia="Times New Roman" w:hAnsi="Arial" w:cs="Arial"/>
          <w:color w:val="000000"/>
          <w:sz w:val="20"/>
          <w:szCs w:val="20"/>
        </w:rPr>
        <w:sectPr w:rsidR="00546832" w:rsidSect="00546832">
          <w:type w:val="continuous"/>
          <w:pgSz w:w="15840" w:h="12240" w:orient="landscape"/>
          <w:pgMar w:top="1440" w:right="1440" w:bottom="1440" w:left="1440" w:header="720" w:footer="720" w:gutter="0"/>
          <w:cols w:num="2" w:space="720"/>
          <w:docGrid w:linePitch="360"/>
        </w:sectPr>
      </w:pPr>
    </w:p>
    <w:p w14:paraId="123BEA72" w14:textId="19A44A61" w:rsidR="00CC17BD" w:rsidRPr="00CC17BD" w:rsidRDefault="00CC17BD" w:rsidP="00B968DB">
      <w:pPr>
        <w:spacing w:after="0" w:line="240" w:lineRule="auto"/>
        <w:rPr>
          <w:rFonts w:ascii="Arial" w:eastAsia="Times New Roman" w:hAnsi="Arial" w:cs="Arial"/>
          <w:color w:val="000000"/>
          <w:sz w:val="20"/>
          <w:szCs w:val="20"/>
        </w:rPr>
      </w:pPr>
    </w:p>
    <w:p w14:paraId="26213ABC" w14:textId="09ABF313" w:rsidR="00B968DB" w:rsidRPr="00B968DB" w:rsidRDefault="00CE1C4F" w:rsidP="00B968DB">
      <w:pPr>
        <w:spacing w:after="0" w:line="240" w:lineRule="auto"/>
        <w:rPr>
          <w:rFonts w:ascii="Arial" w:eastAsia="Times New Roman" w:hAnsi="Arial" w:cs="Arial"/>
          <w:color w:val="000000"/>
          <w:sz w:val="20"/>
          <w:szCs w:val="20"/>
        </w:rPr>
      </w:pPr>
      <w:r w:rsidRPr="00636FFA">
        <w:rPr>
          <w:rFonts w:ascii="Calibri" w:eastAsia="Times New Roman" w:hAnsi="Calibri" w:cs="Calibri"/>
          <w:noProof/>
          <w:szCs w:val="21"/>
        </w:rPr>
        <w:lastRenderedPageBreak/>
        <w:drawing>
          <wp:inline distT="0" distB="0" distL="0" distR="0" wp14:anchorId="7310EBDE" wp14:editId="05B42F9B">
            <wp:extent cx="5108266" cy="5495925"/>
            <wp:effectExtent l="19050" t="19050" r="16510" b="9525"/>
            <wp:docPr id="16" name="Picture 16" descr="C:\Users\19029\Desktop\Section4\ActionAgenda_Sout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9029\Desktop\Section4\ActionAgenda_South.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111797" cy="5499724"/>
                    </a:xfrm>
                    <a:prstGeom prst="rect">
                      <a:avLst/>
                    </a:prstGeom>
                    <a:noFill/>
                    <a:ln w="3175">
                      <a:solidFill>
                        <a:sysClr val="windowText" lastClr="000000"/>
                      </a:solidFill>
                    </a:ln>
                  </pic:spPr>
                </pic:pic>
              </a:graphicData>
            </a:graphic>
          </wp:inline>
        </w:drawing>
      </w:r>
    </w:p>
    <w:p w14:paraId="63D6F418" w14:textId="5E3E9471" w:rsidR="00B968DB" w:rsidRDefault="00B968DB" w:rsidP="00B968DB">
      <w:pPr>
        <w:spacing w:after="0" w:line="240" w:lineRule="auto"/>
        <w:rPr>
          <w:rFonts w:ascii="Arial" w:eastAsia="Times New Roman" w:hAnsi="Arial" w:cs="Arial"/>
          <w:b/>
          <w:bCs/>
          <w:color w:val="000000"/>
          <w:sz w:val="18"/>
          <w:szCs w:val="18"/>
        </w:rPr>
      </w:pPr>
      <w:r w:rsidRPr="00B968DB">
        <w:rPr>
          <w:rFonts w:ascii="Arial" w:eastAsia="Times New Roman" w:hAnsi="Arial" w:cs="Arial"/>
          <w:b/>
          <w:bCs/>
          <w:color w:val="000000"/>
          <w:sz w:val="18"/>
          <w:szCs w:val="18"/>
        </w:rPr>
        <w:t>Figure 1. Map of</w:t>
      </w:r>
      <w:r w:rsidR="00CE1C4F">
        <w:rPr>
          <w:rFonts w:ascii="Arial" w:eastAsia="Times New Roman" w:hAnsi="Arial" w:cs="Arial"/>
          <w:b/>
          <w:bCs/>
          <w:color w:val="000000"/>
          <w:sz w:val="18"/>
          <w:szCs w:val="18"/>
        </w:rPr>
        <w:t xml:space="preserve"> South Sound LIO (Alliance for Healthy Sound Sound)</w:t>
      </w:r>
    </w:p>
    <w:p w14:paraId="6C92FE9C" w14:textId="77777777" w:rsidR="00CE1C4F" w:rsidRPr="00B968DB" w:rsidRDefault="00CE1C4F" w:rsidP="00B968DB">
      <w:pPr>
        <w:spacing w:after="0" w:line="240" w:lineRule="auto"/>
        <w:rPr>
          <w:rFonts w:ascii="Arial" w:eastAsia="Times New Roman" w:hAnsi="Arial" w:cs="Arial"/>
          <w:color w:val="000000"/>
          <w:sz w:val="18"/>
          <w:szCs w:val="18"/>
        </w:rPr>
      </w:pPr>
    </w:p>
    <w:p w14:paraId="6DBB8DF9" w14:textId="77777777" w:rsidR="00B968DB" w:rsidRPr="00B968DB" w:rsidRDefault="00B968DB" w:rsidP="005245A4">
      <w:pPr>
        <w:pBdr>
          <w:bottom w:val="single" w:sz="12" w:space="0" w:color="003A5D"/>
        </w:pBdr>
        <w:spacing w:before="150" w:after="150" w:line="240" w:lineRule="auto"/>
        <w:outlineLvl w:val="0"/>
        <w:rPr>
          <w:rFonts w:ascii="Trebuchet MS" w:eastAsia="Times New Roman" w:hAnsi="Trebuchet MS" w:cs="Times New Roman"/>
          <w:b/>
          <w:bCs/>
          <w:caps/>
          <w:color w:val="003A5D"/>
          <w:kern w:val="36"/>
          <w:sz w:val="28"/>
          <w:szCs w:val="28"/>
        </w:rPr>
      </w:pPr>
      <w:bookmarkStart w:id="61" w:name="_Toc462918328"/>
      <w:r w:rsidRPr="00B968DB">
        <w:rPr>
          <w:rFonts w:ascii="Trebuchet MS" w:eastAsia="Times New Roman" w:hAnsi="Trebuchet MS" w:cs="Times New Roman"/>
          <w:b/>
          <w:bCs/>
          <w:caps/>
          <w:color w:val="003A5D"/>
          <w:kern w:val="36"/>
          <w:sz w:val="28"/>
          <w:szCs w:val="28"/>
        </w:rPr>
        <w:lastRenderedPageBreak/>
        <w:t>2.0 PRIORITY VITAL SIGNS, ECOSYSTEM COMPONENTS, AND GOALS FOR THE LIO</w:t>
      </w:r>
      <w:bookmarkEnd w:id="61"/>
    </w:p>
    <w:p w14:paraId="4F427EA5" w14:textId="77777777" w:rsidR="00B968DB" w:rsidRPr="00B968DB" w:rsidRDefault="00B968DB" w:rsidP="00B968DB">
      <w:pPr>
        <w:spacing w:after="150" w:line="240" w:lineRule="auto"/>
        <w:rPr>
          <w:rFonts w:ascii="Arial" w:eastAsia="Times New Roman" w:hAnsi="Arial" w:cs="Arial"/>
          <w:color w:val="003A5D"/>
          <w:sz w:val="20"/>
          <w:szCs w:val="20"/>
        </w:rPr>
      </w:pPr>
      <w:r w:rsidRPr="00B968DB">
        <w:rPr>
          <w:rFonts w:ascii="Arial" w:eastAsia="Times New Roman" w:hAnsi="Arial" w:cs="Arial"/>
          <w:color w:val="003A5D"/>
          <w:sz w:val="20"/>
          <w:szCs w:val="20"/>
        </w:rPr>
        <w:t>Components are the focus of the recovery effort. Each LIO identified the priority Vital Signs, human wellbeing components, and ecosystem components for their LIO area. The strategies and actions comprising the recovery plan are designed to improve or protect the health of components either through restoration strategies or protection or mitigation strategies that reduce pressures on the ecosystem. LIO-specific goals were identified for components and, where possible and appropriate, LIOs identified the contribution toward the regional recovery targets. </w:t>
      </w:r>
      <w:r w:rsidRPr="00B968DB">
        <w:rPr>
          <w:rFonts w:ascii="Arial" w:eastAsia="Times New Roman" w:hAnsi="Arial" w:cs="Arial"/>
          <w:color w:val="003A5D"/>
          <w:sz w:val="20"/>
          <w:szCs w:val="20"/>
        </w:rPr>
        <w:br/>
      </w:r>
      <w:r w:rsidRPr="00B968DB">
        <w:rPr>
          <w:rFonts w:ascii="Arial" w:eastAsia="Times New Roman" w:hAnsi="Arial" w:cs="Arial"/>
          <w:color w:val="003A5D"/>
          <w:sz w:val="20"/>
          <w:szCs w:val="20"/>
        </w:rPr>
        <w:br/>
        <w:t>For a glossary of the terms used throughout this plan, see Appendix A.</w:t>
      </w:r>
    </w:p>
    <w:p w14:paraId="605C99A3" w14:textId="77777777" w:rsidR="00B968DB" w:rsidRPr="00B968DB" w:rsidRDefault="00B968DB" w:rsidP="00B968DB">
      <w:pPr>
        <w:spacing w:before="300" w:after="150" w:line="240" w:lineRule="auto"/>
        <w:outlineLvl w:val="1"/>
        <w:rPr>
          <w:rFonts w:ascii="Trebuchet MS" w:eastAsia="Times New Roman" w:hAnsi="Trebuchet MS" w:cs="Times New Roman"/>
          <w:b/>
          <w:bCs/>
          <w:caps/>
          <w:color w:val="003A5D"/>
          <w:sz w:val="24"/>
          <w:szCs w:val="24"/>
        </w:rPr>
      </w:pPr>
      <w:bookmarkStart w:id="62" w:name="_Toc462918329"/>
      <w:r w:rsidRPr="00B968DB">
        <w:rPr>
          <w:rFonts w:ascii="Trebuchet MS" w:eastAsia="Times New Roman" w:hAnsi="Trebuchet MS" w:cs="Times New Roman"/>
          <w:b/>
          <w:bCs/>
          <w:caps/>
          <w:color w:val="003A5D"/>
          <w:sz w:val="24"/>
          <w:szCs w:val="24"/>
        </w:rPr>
        <w:t>SUMMARY OF COMPONENTS, VITAL SIGNS AND GOALS FOR THE LIO AREA</w:t>
      </w:r>
      <w:bookmarkEnd w:id="62"/>
    </w:p>
    <w:p w14:paraId="5B7EE618" w14:textId="77777777" w:rsidR="00B968DB" w:rsidRPr="00B968DB" w:rsidRDefault="00B968DB" w:rsidP="00B968DB">
      <w:pPr>
        <w:spacing w:after="0" w:line="240" w:lineRule="auto"/>
        <w:rPr>
          <w:rFonts w:ascii="Arial" w:eastAsia="Times New Roman" w:hAnsi="Arial" w:cs="Arial"/>
          <w:color w:val="000000"/>
          <w:sz w:val="18"/>
          <w:szCs w:val="18"/>
        </w:rPr>
      </w:pPr>
      <w:r w:rsidRPr="00B968DB">
        <w:rPr>
          <w:rFonts w:ascii="Arial" w:eastAsia="Times New Roman" w:hAnsi="Arial" w:cs="Arial"/>
          <w:b/>
          <w:bCs/>
          <w:color w:val="000000"/>
          <w:sz w:val="18"/>
          <w:szCs w:val="18"/>
        </w:rPr>
        <w:t>Table 3. Ecosystem components, Vital Signs and goals</w:t>
      </w:r>
    </w:p>
    <w:tbl>
      <w:tblPr>
        <w:tblW w:w="0" w:type="auto"/>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1730"/>
        <w:gridCol w:w="2981"/>
        <w:gridCol w:w="3361"/>
        <w:gridCol w:w="2969"/>
        <w:gridCol w:w="1903"/>
      </w:tblGrid>
      <w:tr w:rsidR="005628CB" w:rsidRPr="00B968DB" w14:paraId="1996F29C"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vAlign w:val="center"/>
            <w:hideMark/>
          </w:tcPr>
          <w:p w14:paraId="2E4E056E"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ECOSYSTEM COMPONENT</w:t>
            </w:r>
          </w:p>
        </w:tc>
        <w:tc>
          <w:tcPr>
            <w:tcW w:w="0" w:type="auto"/>
            <w:tcBorders>
              <w:top w:val="single" w:sz="6" w:space="0" w:color="000000"/>
              <w:left w:val="single" w:sz="6" w:space="0" w:color="000000"/>
              <w:bottom w:val="single" w:sz="18" w:space="0" w:color="000000"/>
              <w:right w:val="single" w:sz="6" w:space="0" w:color="000000"/>
            </w:tcBorders>
            <w:shd w:val="clear" w:color="auto" w:fill="003A5D"/>
            <w:vAlign w:val="center"/>
            <w:hideMark/>
          </w:tcPr>
          <w:p w14:paraId="02331738"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STATUS OF COMPONENT</w:t>
            </w:r>
          </w:p>
        </w:tc>
        <w:tc>
          <w:tcPr>
            <w:tcW w:w="0" w:type="auto"/>
            <w:tcBorders>
              <w:top w:val="single" w:sz="6" w:space="0" w:color="000000"/>
              <w:left w:val="single" w:sz="6" w:space="0" w:color="000000"/>
              <w:bottom w:val="single" w:sz="18" w:space="0" w:color="000000"/>
              <w:right w:val="single" w:sz="6" w:space="0" w:color="000000"/>
            </w:tcBorders>
            <w:shd w:val="clear" w:color="auto" w:fill="003A5D"/>
            <w:vAlign w:val="center"/>
            <w:hideMark/>
          </w:tcPr>
          <w:p w14:paraId="7D0E730A"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 OF COMPONENT</w:t>
            </w:r>
          </w:p>
        </w:tc>
        <w:tc>
          <w:tcPr>
            <w:tcW w:w="0" w:type="auto"/>
            <w:tcBorders>
              <w:top w:val="single" w:sz="6" w:space="0" w:color="000000"/>
              <w:left w:val="single" w:sz="6" w:space="0" w:color="000000"/>
              <w:bottom w:val="single" w:sz="18" w:space="0" w:color="000000"/>
              <w:right w:val="single" w:sz="6" w:space="0" w:color="000000"/>
            </w:tcBorders>
            <w:shd w:val="clear" w:color="auto" w:fill="003A5D"/>
            <w:vAlign w:val="center"/>
            <w:hideMark/>
          </w:tcPr>
          <w:p w14:paraId="2E605394"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GOALS AND/OR CONTRIBUTION TOWARD VITAL SIGN TARGET</w:t>
            </w:r>
          </w:p>
        </w:tc>
        <w:tc>
          <w:tcPr>
            <w:tcW w:w="0" w:type="auto"/>
            <w:tcBorders>
              <w:top w:val="single" w:sz="6" w:space="0" w:color="000000"/>
              <w:left w:val="single" w:sz="6" w:space="0" w:color="000000"/>
              <w:bottom w:val="single" w:sz="18" w:space="0" w:color="000000"/>
              <w:right w:val="single" w:sz="6" w:space="0" w:color="000000"/>
            </w:tcBorders>
            <w:shd w:val="clear" w:color="auto" w:fill="003A5D"/>
            <w:vAlign w:val="center"/>
            <w:hideMark/>
          </w:tcPr>
          <w:p w14:paraId="4073126F"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RELATED VITAL SIGNS</w:t>
            </w:r>
          </w:p>
        </w:tc>
      </w:tr>
      <w:tr w:rsidR="005628CB" w:rsidRPr="005628CB" w14:paraId="2803BAED" w14:textId="77777777" w:rsidTr="00D84E97">
        <w:tc>
          <w:tcPr>
            <w:tcW w:w="0" w:type="auto"/>
            <w:tcBorders>
              <w:top w:val="single" w:sz="6" w:space="0" w:color="auto"/>
              <w:left w:val="single" w:sz="6" w:space="0" w:color="auto"/>
              <w:bottom w:val="single" w:sz="6" w:space="0" w:color="auto"/>
              <w:right w:val="single" w:sz="6" w:space="0" w:color="auto"/>
            </w:tcBorders>
            <w:hideMark/>
          </w:tcPr>
          <w:p w14:paraId="59B1D038" w14:textId="3852EAC7" w:rsidR="00D84E97" w:rsidRPr="00D074BB" w:rsidRDefault="00D84E97" w:rsidP="00D84E97">
            <w:pPr>
              <w:spacing w:after="0" w:line="240" w:lineRule="atLeast"/>
              <w:rPr>
                <w:rFonts w:ascii="Arial" w:eastAsia="Times New Roman" w:hAnsi="Arial" w:cs="Arial"/>
                <w:sz w:val="20"/>
                <w:szCs w:val="20"/>
              </w:rPr>
            </w:pPr>
            <w:r w:rsidRPr="00D074BB">
              <w:rPr>
                <w:rFonts w:ascii="Arial" w:eastAsia="Times New Roman" w:hAnsi="Arial" w:cs="Arial"/>
                <w:sz w:val="20"/>
                <w:szCs w:val="20"/>
              </w:rPr>
              <w:t>Intact Large Estuaries</w:t>
            </w:r>
            <w:r w:rsidRPr="00D074BB">
              <w:rPr>
                <w:rFonts w:ascii="Arial" w:hAnsi="Arial" w:cs="Arial"/>
                <w:sz w:val="20"/>
                <w:szCs w:val="20"/>
              </w:rPr>
              <w:t xml:space="preserve"> </w:t>
            </w:r>
          </w:p>
        </w:tc>
        <w:tc>
          <w:tcPr>
            <w:tcW w:w="0" w:type="auto"/>
            <w:tcBorders>
              <w:top w:val="single" w:sz="6" w:space="0" w:color="auto"/>
              <w:left w:val="single" w:sz="6" w:space="0" w:color="auto"/>
              <w:bottom w:val="single" w:sz="6" w:space="0" w:color="auto"/>
              <w:right w:val="single" w:sz="6" w:space="0" w:color="auto"/>
            </w:tcBorders>
          </w:tcPr>
          <w:p w14:paraId="158DD38B" w14:textId="6005ACC8" w:rsidR="00D84E97" w:rsidRPr="00D074BB" w:rsidRDefault="00D84E97" w:rsidP="00D84E97">
            <w:pPr>
              <w:spacing w:after="0" w:line="240" w:lineRule="auto"/>
              <w:rPr>
                <w:rFonts w:ascii="Arial" w:eastAsia="Times New Roman" w:hAnsi="Arial" w:cs="Arial"/>
                <w:sz w:val="20"/>
                <w:szCs w:val="20"/>
              </w:rPr>
            </w:pPr>
            <w:r w:rsidRPr="00D074BB">
              <w:rPr>
                <w:rFonts w:ascii="Arial" w:hAnsi="Arial" w:cs="Arial"/>
                <w:sz w:val="20"/>
                <w:szCs w:val="20"/>
              </w:rPr>
              <w:t xml:space="preserve">Large estuaries comprise approximately 18 miles of the South Sound shoreline with the Nisqually delta as the largest.  Four of the inlet/island groups only have 1 large intact estuary, while the other three inlet/island groups have 3 intact estuaries based on the amount of modified shoreline.  </w:t>
            </w:r>
          </w:p>
        </w:tc>
        <w:tc>
          <w:tcPr>
            <w:tcW w:w="0" w:type="auto"/>
            <w:tcBorders>
              <w:top w:val="single" w:sz="6" w:space="0" w:color="auto"/>
              <w:left w:val="single" w:sz="6" w:space="0" w:color="auto"/>
              <w:bottom w:val="single" w:sz="6" w:space="0" w:color="auto"/>
              <w:right w:val="single" w:sz="6" w:space="0" w:color="auto"/>
            </w:tcBorders>
            <w:hideMark/>
          </w:tcPr>
          <w:p w14:paraId="7CF93989" w14:textId="2204508C" w:rsidR="00D84E97" w:rsidRPr="00D074BB" w:rsidRDefault="00D84E97" w:rsidP="00D84E97">
            <w:pPr>
              <w:spacing w:after="0" w:line="240" w:lineRule="auto"/>
              <w:rPr>
                <w:rFonts w:ascii="Arial" w:eastAsia="Times New Roman" w:hAnsi="Arial" w:cs="Arial"/>
                <w:sz w:val="20"/>
                <w:szCs w:val="20"/>
              </w:rPr>
            </w:pPr>
            <w:r w:rsidRPr="00D074BB">
              <w:rPr>
                <w:rFonts w:ascii="Arial" w:hAnsi="Arial" w:cs="Arial"/>
                <w:sz w:val="20"/>
                <w:szCs w:val="20"/>
              </w:rPr>
              <w:t>Large estuaries form where rivers meet the sea, creating a unique and important environment where freshwater mixes with saltwater and sediments collect. Estuaries provide habitat critical to salmon recovery. Young salmon rely on estuaries to rest, grow, and acclimate to salt water before they migrate to the ocean.</w:t>
            </w:r>
          </w:p>
        </w:tc>
        <w:tc>
          <w:tcPr>
            <w:tcW w:w="0" w:type="auto"/>
            <w:tcBorders>
              <w:top w:val="single" w:sz="6" w:space="0" w:color="auto"/>
              <w:left w:val="single" w:sz="6" w:space="0" w:color="auto"/>
              <w:bottom w:val="single" w:sz="6" w:space="0" w:color="auto"/>
              <w:right w:val="single" w:sz="6" w:space="0" w:color="auto"/>
            </w:tcBorders>
            <w:hideMark/>
          </w:tcPr>
          <w:p w14:paraId="6E3130DE" w14:textId="77777777"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(1) Protect all intact large estuary shoreline throughout South Sound, 15.7 miles, of which 14.6 miles are in the areas identified as a priority in the Squaxin Island Tribe Coastal Catchment Assessment and/or the Nearshore Project Selection Tool for Juvenile Salmon;</w:t>
            </w:r>
          </w:p>
          <w:p w14:paraId="002125E6" w14:textId="702CB73F" w:rsidR="00D84E97" w:rsidRPr="00D074BB"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(2) restore 1.6 miles of degraded large estuary habitat in the areas identified as a prio</w:t>
            </w:r>
            <w:r w:rsidRPr="00D074BB">
              <w:rPr>
                <w:rFonts w:ascii="Arial" w:eastAsia="Times New Roman" w:hAnsi="Arial" w:cs="Arial"/>
                <w:sz w:val="20"/>
                <w:szCs w:val="20"/>
              </w:rPr>
              <w:t>rity in the Squaxin Island Tribe Nearshore Project Selection Tool for Juvenile Salmon</w:t>
            </w:r>
          </w:p>
        </w:tc>
        <w:tc>
          <w:tcPr>
            <w:tcW w:w="0" w:type="auto"/>
            <w:tcBorders>
              <w:top w:val="single" w:sz="6" w:space="0" w:color="auto"/>
              <w:left w:val="single" w:sz="6" w:space="0" w:color="auto"/>
              <w:bottom w:val="single" w:sz="6" w:space="0" w:color="auto"/>
              <w:right w:val="single" w:sz="6" w:space="0" w:color="auto"/>
            </w:tcBorders>
            <w:hideMark/>
          </w:tcPr>
          <w:p w14:paraId="12B7960A" w14:textId="3F377EA1" w:rsidR="00D84E97"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t>Estuaries</w:t>
            </w:r>
          </w:p>
        </w:tc>
      </w:tr>
      <w:tr w:rsidR="005628CB" w:rsidRPr="005628CB" w14:paraId="7FB3E2B4" w14:textId="77777777" w:rsidTr="00B968DB">
        <w:tc>
          <w:tcPr>
            <w:tcW w:w="0" w:type="auto"/>
            <w:tcBorders>
              <w:top w:val="single" w:sz="6" w:space="0" w:color="auto"/>
              <w:left w:val="single" w:sz="6" w:space="0" w:color="auto"/>
              <w:bottom w:val="single" w:sz="6" w:space="0" w:color="auto"/>
              <w:right w:val="single" w:sz="6" w:space="0" w:color="auto"/>
            </w:tcBorders>
          </w:tcPr>
          <w:p w14:paraId="389713B7" w14:textId="0BF387E5" w:rsidR="00D84E97" w:rsidRPr="00D074BB" w:rsidRDefault="00D84E97" w:rsidP="00D84E97">
            <w:pPr>
              <w:spacing w:after="0" w:line="240" w:lineRule="atLeast"/>
              <w:rPr>
                <w:rFonts w:ascii="Arial" w:eastAsia="Times New Roman" w:hAnsi="Arial" w:cs="Arial"/>
                <w:sz w:val="20"/>
                <w:szCs w:val="20"/>
              </w:rPr>
            </w:pPr>
            <w:r w:rsidRPr="00D074BB">
              <w:rPr>
                <w:rFonts w:ascii="Arial" w:eastAsia="Times New Roman" w:hAnsi="Arial" w:cs="Arial"/>
                <w:sz w:val="20"/>
                <w:szCs w:val="20"/>
              </w:rPr>
              <w:t>Intact Small/Pocket Estuaries</w:t>
            </w:r>
          </w:p>
        </w:tc>
        <w:tc>
          <w:tcPr>
            <w:tcW w:w="0" w:type="auto"/>
            <w:tcBorders>
              <w:top w:val="single" w:sz="6" w:space="0" w:color="auto"/>
              <w:left w:val="single" w:sz="6" w:space="0" w:color="auto"/>
              <w:bottom w:val="single" w:sz="6" w:space="0" w:color="auto"/>
              <w:right w:val="single" w:sz="6" w:space="0" w:color="auto"/>
            </w:tcBorders>
          </w:tcPr>
          <w:p w14:paraId="16DC27DA" w14:textId="60F9726C" w:rsidR="00D84E97" w:rsidRPr="00D074BB" w:rsidRDefault="00D84E97" w:rsidP="00D84E97">
            <w:pPr>
              <w:spacing w:after="0" w:line="240" w:lineRule="auto"/>
              <w:rPr>
                <w:rFonts w:ascii="Arial" w:eastAsia="Times New Roman" w:hAnsi="Arial" w:cs="Arial"/>
                <w:sz w:val="20"/>
                <w:szCs w:val="20"/>
              </w:rPr>
            </w:pPr>
            <w:r w:rsidRPr="00D074BB">
              <w:rPr>
                <w:rFonts w:ascii="Arial" w:hAnsi="Arial" w:cs="Arial"/>
                <w:sz w:val="20"/>
                <w:szCs w:val="20"/>
              </w:rPr>
              <w:t xml:space="preserve">Small pocket estuaries comprise approximately 20 miles of the South Sound shoreline although some have been heavily modified by development, including </w:t>
            </w:r>
            <w:r w:rsidRPr="00D074BB">
              <w:rPr>
                <w:rFonts w:ascii="Arial" w:hAnsi="Arial" w:cs="Arial"/>
                <w:sz w:val="20"/>
                <w:szCs w:val="20"/>
              </w:rPr>
              <w:lastRenderedPageBreak/>
              <w:t>nearshore fill and shoreline armoring.  Totten &amp;Little Skookum Inlets, Eld Inlet, and Henderson Inlet have the greatest amount of intact small estuaries while Budd Inlet has the least.</w:t>
            </w:r>
          </w:p>
        </w:tc>
        <w:tc>
          <w:tcPr>
            <w:tcW w:w="0" w:type="auto"/>
            <w:tcBorders>
              <w:top w:val="single" w:sz="6" w:space="0" w:color="auto"/>
              <w:left w:val="single" w:sz="6" w:space="0" w:color="auto"/>
              <w:bottom w:val="single" w:sz="6" w:space="0" w:color="auto"/>
              <w:right w:val="single" w:sz="6" w:space="0" w:color="auto"/>
            </w:tcBorders>
          </w:tcPr>
          <w:p w14:paraId="16F19DE8" w14:textId="2024265F" w:rsidR="00D84E97" w:rsidRPr="00D074BB" w:rsidRDefault="00D84E97" w:rsidP="00D84E97">
            <w:pPr>
              <w:spacing w:after="0" w:line="240" w:lineRule="auto"/>
              <w:rPr>
                <w:rFonts w:ascii="Arial" w:eastAsia="Times New Roman" w:hAnsi="Arial" w:cs="Arial"/>
                <w:sz w:val="20"/>
                <w:szCs w:val="20"/>
              </w:rPr>
            </w:pPr>
            <w:r w:rsidRPr="00D074BB">
              <w:rPr>
                <w:rFonts w:ascii="Arial" w:hAnsi="Arial" w:cs="Arial"/>
                <w:sz w:val="20"/>
                <w:szCs w:val="20"/>
              </w:rPr>
              <w:lastRenderedPageBreak/>
              <w:t xml:space="preserve">Pocket estuaries form where small streams meet the sea, creating a unique and important environment where freshwater mixes with saltwater and sediments collect. These small estuaries provide </w:t>
            </w:r>
            <w:r w:rsidRPr="00D074BB">
              <w:rPr>
                <w:rFonts w:ascii="Arial" w:hAnsi="Arial" w:cs="Arial"/>
                <w:sz w:val="20"/>
                <w:szCs w:val="20"/>
              </w:rPr>
              <w:lastRenderedPageBreak/>
              <w:t>habitat critical to salmon recovery. Young salmon rely on estuaries to rest, grow, and acclimate to salt water before they migrate to the ocean.</w:t>
            </w:r>
          </w:p>
        </w:tc>
        <w:tc>
          <w:tcPr>
            <w:tcW w:w="0" w:type="auto"/>
            <w:tcBorders>
              <w:top w:val="single" w:sz="6" w:space="0" w:color="auto"/>
              <w:left w:val="single" w:sz="6" w:space="0" w:color="auto"/>
              <w:bottom w:val="single" w:sz="6" w:space="0" w:color="auto"/>
              <w:right w:val="single" w:sz="6" w:space="0" w:color="auto"/>
            </w:tcBorders>
          </w:tcPr>
          <w:p w14:paraId="3F70A38F" w14:textId="77777777"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lastRenderedPageBreak/>
              <w:t xml:space="preserve">(1) Protect all intact small pocket estuary shoreline throughout South Sound, 85 miles, of which 70.3 miles are in the areas identified as a priority in the Squaxin Island </w:t>
            </w:r>
            <w:r w:rsidRPr="00812270">
              <w:rPr>
                <w:rFonts w:ascii="Arial" w:eastAsia="Times New Roman" w:hAnsi="Arial" w:cs="Arial"/>
                <w:sz w:val="20"/>
                <w:szCs w:val="20"/>
              </w:rPr>
              <w:lastRenderedPageBreak/>
              <w:t>Tribe Coastal Catchment Assessment and/or the Nearshore Project Selection Tool for Juvenile Salmon</w:t>
            </w:r>
          </w:p>
          <w:p w14:paraId="4E437A3D" w14:textId="5F3F8947" w:rsidR="00D84E97" w:rsidRPr="00D074BB"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(2) restore 12.6 miles of degraded small estuary habitat in the areas identified as a priorit</w:t>
            </w:r>
            <w:r w:rsidRPr="00D074BB">
              <w:rPr>
                <w:rFonts w:ascii="Arial" w:eastAsia="Times New Roman" w:hAnsi="Arial" w:cs="Arial"/>
                <w:sz w:val="20"/>
                <w:szCs w:val="20"/>
              </w:rPr>
              <w:t>y in the Squaxin Island Tribe Coastal Catchment Assessment and/or the Nearshore Project Selection Tool for Juvenile Salmon.</w:t>
            </w:r>
          </w:p>
        </w:tc>
        <w:tc>
          <w:tcPr>
            <w:tcW w:w="0" w:type="auto"/>
            <w:tcBorders>
              <w:top w:val="single" w:sz="6" w:space="0" w:color="auto"/>
              <w:left w:val="single" w:sz="6" w:space="0" w:color="auto"/>
              <w:bottom w:val="single" w:sz="6" w:space="0" w:color="auto"/>
              <w:right w:val="single" w:sz="6" w:space="0" w:color="auto"/>
            </w:tcBorders>
          </w:tcPr>
          <w:p w14:paraId="0DB54F67" w14:textId="67B0D807" w:rsidR="00D84E97"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lastRenderedPageBreak/>
              <w:t>Estuaries</w:t>
            </w:r>
          </w:p>
        </w:tc>
      </w:tr>
      <w:tr w:rsidR="005628CB" w:rsidRPr="005628CB" w14:paraId="1F813B85" w14:textId="77777777" w:rsidTr="003D0CCA">
        <w:tc>
          <w:tcPr>
            <w:tcW w:w="0" w:type="auto"/>
            <w:tcBorders>
              <w:top w:val="single" w:sz="6" w:space="0" w:color="auto"/>
              <w:left w:val="single" w:sz="6" w:space="0" w:color="auto"/>
              <w:bottom w:val="single" w:sz="6" w:space="0" w:color="auto"/>
              <w:right w:val="single" w:sz="6" w:space="0" w:color="auto"/>
            </w:tcBorders>
            <w:hideMark/>
          </w:tcPr>
          <w:p w14:paraId="3226EE45" w14:textId="4F01BDDB" w:rsidR="00D84E97" w:rsidRPr="00D074BB" w:rsidRDefault="00D84E97" w:rsidP="00D84E97">
            <w:pPr>
              <w:spacing w:after="0" w:line="240" w:lineRule="atLeast"/>
              <w:rPr>
                <w:rFonts w:ascii="Arial" w:eastAsia="Times New Roman" w:hAnsi="Arial" w:cs="Arial"/>
                <w:sz w:val="20"/>
                <w:szCs w:val="20"/>
              </w:rPr>
            </w:pPr>
            <w:r w:rsidRPr="00D074BB">
              <w:rPr>
                <w:rFonts w:ascii="Arial" w:eastAsia="Times New Roman" w:hAnsi="Arial" w:cs="Arial"/>
                <w:sz w:val="20"/>
                <w:szCs w:val="20"/>
              </w:rPr>
              <w:t>Summer Low Flows in Rivers and Streams</w:t>
            </w:r>
          </w:p>
        </w:tc>
        <w:tc>
          <w:tcPr>
            <w:tcW w:w="0" w:type="auto"/>
            <w:tcBorders>
              <w:top w:val="single" w:sz="6" w:space="0" w:color="auto"/>
              <w:left w:val="single" w:sz="6" w:space="0" w:color="auto"/>
              <w:bottom w:val="single" w:sz="6" w:space="0" w:color="auto"/>
              <w:right w:val="single" w:sz="6" w:space="0" w:color="auto"/>
            </w:tcBorders>
            <w:hideMark/>
          </w:tcPr>
          <w:p w14:paraId="1A8FA6C2" w14:textId="7C49751A" w:rsidR="00D84E97" w:rsidRPr="00D074BB" w:rsidRDefault="001D012F" w:rsidP="00D84E97">
            <w:pPr>
              <w:spacing w:after="0" w:line="240" w:lineRule="auto"/>
              <w:rPr>
                <w:rFonts w:ascii="Arial" w:eastAsia="Times New Roman" w:hAnsi="Arial" w:cs="Arial"/>
                <w:sz w:val="20"/>
                <w:szCs w:val="20"/>
              </w:rPr>
            </w:pPr>
            <w:r w:rsidRPr="00D074BB">
              <w:rPr>
                <w:rFonts w:ascii="Arial" w:eastAsia="Times New Roman" w:hAnsi="Arial" w:cs="Arial"/>
                <w:color w:val="000000"/>
                <w:sz w:val="20"/>
                <w:szCs w:val="20"/>
              </w:rPr>
              <w:t xml:space="preserve">USGS monitoring stations in the Nisqually River (at McKenna) or Deschutes River (near Rainier) provide an indication of summer low flows for large river systems in the South Sound. As reported in 2015 State of the Sound Vital Signs, summer low flows in the Nisqually River show a strongly increasing trend over the current period of record (1975-2014) and low flows in the Deschutes River are weakly decreasing.  </w:t>
            </w:r>
          </w:p>
        </w:tc>
        <w:tc>
          <w:tcPr>
            <w:tcW w:w="0" w:type="auto"/>
            <w:tcBorders>
              <w:top w:val="single" w:sz="6" w:space="0" w:color="auto"/>
              <w:left w:val="single" w:sz="6" w:space="0" w:color="auto"/>
              <w:bottom w:val="single" w:sz="6" w:space="0" w:color="auto"/>
              <w:right w:val="single" w:sz="6" w:space="0" w:color="auto"/>
            </w:tcBorders>
            <w:hideMark/>
          </w:tcPr>
          <w:p w14:paraId="13FD2437" w14:textId="555A5FB4" w:rsidR="00D84E97" w:rsidRPr="005628CB" w:rsidRDefault="001D012F" w:rsidP="00D84E97">
            <w:pPr>
              <w:spacing w:after="0" w:line="240" w:lineRule="auto"/>
              <w:rPr>
                <w:rFonts w:ascii="Arial" w:eastAsia="Times New Roman" w:hAnsi="Arial" w:cs="Arial"/>
                <w:sz w:val="20"/>
                <w:szCs w:val="20"/>
              </w:rPr>
            </w:pPr>
            <w:r w:rsidRPr="00D074BB">
              <w:rPr>
                <w:rFonts w:ascii="Arial" w:eastAsia="Times New Roman" w:hAnsi="Arial" w:cs="Arial"/>
                <w:color w:val="000000"/>
                <w:sz w:val="20"/>
                <w:szCs w:val="20"/>
              </w:rPr>
              <w:t>Low flows in rivers and streams occur during summer months when there is less rain and warmer weather. Low summer flows can affect salmon recovery, wildlife, and water supply. Development that draws water away from streams can further reduce water quantity in streams through groundwater withdrawals and diversions. New buildings, roads, and parking lots that prevent water from percolating into the ground also can reduce the amount of water that would otherwise recharge summer streams. Shrinking snowpack and warmer summer temperatures can also reduce summer flows.</w:t>
            </w:r>
          </w:p>
        </w:tc>
        <w:tc>
          <w:tcPr>
            <w:tcW w:w="0" w:type="auto"/>
            <w:tcBorders>
              <w:top w:val="single" w:sz="6" w:space="0" w:color="auto"/>
              <w:left w:val="single" w:sz="6" w:space="0" w:color="auto"/>
              <w:bottom w:val="single" w:sz="6" w:space="0" w:color="auto"/>
              <w:right w:val="single" w:sz="6" w:space="0" w:color="auto"/>
            </w:tcBorders>
          </w:tcPr>
          <w:p w14:paraId="71630D3F" w14:textId="0D30673E"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Existing PSP targets for rivers and tribal targets for small streams</w:t>
            </w:r>
          </w:p>
        </w:tc>
        <w:tc>
          <w:tcPr>
            <w:tcW w:w="0" w:type="auto"/>
            <w:tcBorders>
              <w:top w:val="single" w:sz="6" w:space="0" w:color="auto"/>
              <w:left w:val="single" w:sz="6" w:space="0" w:color="auto"/>
              <w:bottom w:val="single" w:sz="6" w:space="0" w:color="auto"/>
              <w:right w:val="single" w:sz="6" w:space="0" w:color="auto"/>
            </w:tcBorders>
            <w:hideMark/>
          </w:tcPr>
          <w:p w14:paraId="00001DBB" w14:textId="10DD4C75" w:rsidR="00D84E97"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t>Summer Stream Flows</w:t>
            </w:r>
          </w:p>
        </w:tc>
      </w:tr>
      <w:tr w:rsidR="005628CB" w:rsidRPr="005628CB" w14:paraId="57FB225B"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56AD62C5" w14:textId="77777777" w:rsidR="00D84E97" w:rsidRPr="005628CB" w:rsidRDefault="00D84E97" w:rsidP="00D84E97">
            <w:pPr>
              <w:spacing w:after="0" w:line="240" w:lineRule="atLeast"/>
              <w:rPr>
                <w:rFonts w:ascii="Arial" w:eastAsia="Times New Roman" w:hAnsi="Arial" w:cs="Arial"/>
                <w:sz w:val="20"/>
                <w:szCs w:val="20"/>
              </w:rPr>
            </w:pPr>
            <w:r w:rsidRPr="005628CB">
              <w:rPr>
                <w:rFonts w:ascii="Arial" w:eastAsia="Times New Roman" w:hAnsi="Arial" w:cs="Arial"/>
                <w:sz w:val="20"/>
                <w:szCs w:val="20"/>
              </w:rPr>
              <w:t>Forest Cover</w:t>
            </w:r>
          </w:p>
        </w:tc>
        <w:tc>
          <w:tcPr>
            <w:tcW w:w="0" w:type="auto"/>
            <w:tcBorders>
              <w:top w:val="single" w:sz="6" w:space="0" w:color="auto"/>
              <w:left w:val="single" w:sz="6" w:space="0" w:color="auto"/>
              <w:bottom w:val="single" w:sz="6" w:space="0" w:color="auto"/>
              <w:right w:val="single" w:sz="6" w:space="0" w:color="auto"/>
            </w:tcBorders>
            <w:hideMark/>
          </w:tcPr>
          <w:p w14:paraId="54B2F7C2" w14:textId="2DE8C336" w:rsidR="00D84E97" w:rsidRPr="005628CB" w:rsidRDefault="00812270" w:rsidP="00D84E97">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t xml:space="preserve">Forest and shrub cover is critical to the health of South Sound watersheds because vegetated landscapes provide </w:t>
            </w:r>
            <w:r w:rsidRPr="005628CB">
              <w:rPr>
                <w:rFonts w:ascii="Arial" w:eastAsia="Times New Roman" w:hAnsi="Arial" w:cs="Arial"/>
                <w:color w:val="000000"/>
                <w:sz w:val="20"/>
                <w:szCs w:val="20"/>
              </w:rPr>
              <w:lastRenderedPageBreak/>
              <w:t>habitat for terrestrial species, deliver watershed functions that support freshwater systems, and provide ecological and cultural services for humans. Tracking changes in land cover provide a way to monitor the South Sound's success in maintaining or improving vegetation cover. Alliance partners anticipate work to reduce loss of vegetated land cover to developed land and limit the increase of impervious surfaces in specific watersheds.</w:t>
            </w:r>
          </w:p>
        </w:tc>
        <w:tc>
          <w:tcPr>
            <w:tcW w:w="0" w:type="auto"/>
            <w:tcBorders>
              <w:top w:val="single" w:sz="6" w:space="0" w:color="auto"/>
              <w:left w:val="single" w:sz="6" w:space="0" w:color="auto"/>
              <w:bottom w:val="single" w:sz="6" w:space="0" w:color="auto"/>
              <w:right w:val="single" w:sz="6" w:space="0" w:color="auto"/>
            </w:tcBorders>
            <w:hideMark/>
          </w:tcPr>
          <w:p w14:paraId="70D79F4C" w14:textId="54E0F0E8" w:rsidR="00D84E97" w:rsidRPr="005628CB" w:rsidRDefault="00812270" w:rsidP="00D84E97">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lastRenderedPageBreak/>
              <w:t xml:space="preserve">Large and small patches of forest and shrub vegetation occur throughout the South Sound with Harstine Island supporting the </w:t>
            </w:r>
            <w:r w:rsidRPr="005628CB">
              <w:rPr>
                <w:rFonts w:ascii="Arial" w:eastAsia="Times New Roman" w:hAnsi="Arial" w:cs="Arial"/>
                <w:color w:val="000000"/>
                <w:sz w:val="20"/>
                <w:szCs w:val="20"/>
              </w:rPr>
              <w:lastRenderedPageBreak/>
              <w:t>greatest proportion of forest cover (93%).  The Key Peninsula and upper reaches of the Nisqually watershed have some of the highest forest cover in the South Sound.  Impervious surface is highest in the Chambers-Clover watershed (64%) and the watersheds that drain to Budd and Henderson inlets (51% and 32%).</w:t>
            </w:r>
          </w:p>
        </w:tc>
        <w:tc>
          <w:tcPr>
            <w:tcW w:w="0" w:type="auto"/>
            <w:tcBorders>
              <w:top w:val="single" w:sz="6" w:space="0" w:color="auto"/>
              <w:left w:val="single" w:sz="6" w:space="0" w:color="auto"/>
              <w:bottom w:val="single" w:sz="6" w:space="0" w:color="auto"/>
              <w:right w:val="single" w:sz="6" w:space="0" w:color="auto"/>
            </w:tcBorders>
            <w:hideMark/>
          </w:tcPr>
          <w:p w14:paraId="64BC3955" w14:textId="77777777"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lastRenderedPageBreak/>
              <w:t xml:space="preserve">(1) Protect and maintain forest in all of the HUC 12 assessment units (below) that </w:t>
            </w:r>
            <w:r w:rsidRPr="00812270">
              <w:rPr>
                <w:rFonts w:ascii="Arial" w:eastAsia="Times New Roman" w:hAnsi="Arial" w:cs="Arial"/>
                <w:sz w:val="20"/>
                <w:szCs w:val="20"/>
              </w:rPr>
              <w:lastRenderedPageBreak/>
              <w:t>have currently have greater than 65% cover</w:t>
            </w:r>
          </w:p>
          <w:p w14:paraId="23F051A4" w14:textId="77777777"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(2) Restore forest cover to above 65% in the following HUC 12 assessment units: Burley Creek-Frontal in Carr Inlet and Cranberry Creek Frontal in Oakland Bay</w:t>
            </w:r>
          </w:p>
          <w:p w14:paraId="1B070DF0" w14:textId="5578B94C" w:rsidR="00D84E97" w:rsidRPr="005628CB" w:rsidRDefault="00D84E97" w:rsidP="00D84E97">
            <w:pPr>
              <w:spacing w:after="0" w:line="240" w:lineRule="auto"/>
              <w:rPr>
                <w:rFonts w:ascii="Arial" w:eastAsia="Times New Roman" w:hAnsi="Arial" w:cs="Arial"/>
                <w:sz w:val="20"/>
                <w:szCs w:val="20"/>
              </w:rPr>
            </w:pPr>
            <w:r w:rsidRPr="00D074BB">
              <w:rPr>
                <w:rFonts w:ascii="Arial" w:eastAsia="Times New Roman" w:hAnsi="Arial" w:cs="Arial"/>
                <w:sz w:val="20"/>
                <w:szCs w:val="20"/>
              </w:rPr>
              <w:t>(3) Restore forest cover to above 60% in the lower and middle Nisqually watershed (included units: Lower Nisqually, McAllister Creek, and Middle Nisqually)</w:t>
            </w:r>
          </w:p>
        </w:tc>
        <w:tc>
          <w:tcPr>
            <w:tcW w:w="0" w:type="auto"/>
            <w:tcBorders>
              <w:top w:val="single" w:sz="6" w:space="0" w:color="auto"/>
              <w:left w:val="single" w:sz="6" w:space="0" w:color="auto"/>
              <w:bottom w:val="single" w:sz="6" w:space="0" w:color="auto"/>
              <w:right w:val="single" w:sz="6" w:space="0" w:color="auto"/>
            </w:tcBorders>
            <w:hideMark/>
          </w:tcPr>
          <w:p w14:paraId="78AE763E" w14:textId="14CAEC70" w:rsidR="00D84E97" w:rsidRPr="005F2213" w:rsidRDefault="005628CB"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lastRenderedPageBreak/>
              <w:t>Land Development/Land Cover</w:t>
            </w:r>
          </w:p>
        </w:tc>
      </w:tr>
      <w:tr w:rsidR="005628CB" w:rsidRPr="005628CB" w14:paraId="67FBDB17"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5861E462" w14:textId="7A1CF330" w:rsidR="00D84E97" w:rsidRPr="005628CB" w:rsidRDefault="00D84E97" w:rsidP="00D84E97">
            <w:pPr>
              <w:spacing w:after="0" w:line="240" w:lineRule="atLeast"/>
              <w:rPr>
                <w:rFonts w:ascii="Arial" w:eastAsia="Times New Roman" w:hAnsi="Arial" w:cs="Arial"/>
                <w:sz w:val="20"/>
                <w:szCs w:val="20"/>
              </w:rPr>
            </w:pPr>
            <w:r w:rsidRPr="005628CB">
              <w:rPr>
                <w:rFonts w:ascii="Arial" w:eastAsia="Times New Roman" w:hAnsi="Arial" w:cs="Arial"/>
                <w:sz w:val="20"/>
                <w:szCs w:val="20"/>
              </w:rPr>
              <w:t>Freshwater Riparian Habitat</w:t>
            </w:r>
          </w:p>
        </w:tc>
        <w:tc>
          <w:tcPr>
            <w:tcW w:w="0" w:type="auto"/>
            <w:tcBorders>
              <w:top w:val="single" w:sz="6" w:space="0" w:color="auto"/>
              <w:left w:val="single" w:sz="6" w:space="0" w:color="auto"/>
              <w:bottom w:val="single" w:sz="6" w:space="0" w:color="auto"/>
              <w:right w:val="single" w:sz="6" w:space="0" w:color="auto"/>
            </w:tcBorders>
            <w:hideMark/>
          </w:tcPr>
          <w:p w14:paraId="3E836FF3" w14:textId="41E02E27" w:rsidR="00D84E97" w:rsidRPr="005628CB" w:rsidRDefault="001D012F" w:rsidP="00D84E97">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t xml:space="preserve">Riparian habitat along major streams (with flow greater than 20 cfs) is the greatest and most intact in the Nisqually watershed.  The major streams with degraded riparian habitat cover include Sequalitchew Creek and waterbodies in the Chambers-Clover watershed.  </w:t>
            </w:r>
          </w:p>
        </w:tc>
        <w:tc>
          <w:tcPr>
            <w:tcW w:w="0" w:type="auto"/>
            <w:tcBorders>
              <w:top w:val="single" w:sz="6" w:space="0" w:color="auto"/>
              <w:left w:val="single" w:sz="6" w:space="0" w:color="auto"/>
              <w:bottom w:val="single" w:sz="6" w:space="0" w:color="auto"/>
              <w:right w:val="single" w:sz="6" w:space="0" w:color="auto"/>
            </w:tcBorders>
            <w:hideMark/>
          </w:tcPr>
          <w:p w14:paraId="536A89C7" w14:textId="46FE8E8E" w:rsidR="00D84E97" w:rsidRPr="005628CB" w:rsidRDefault="001D012F" w:rsidP="00D84E97">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t>Riparian habitat helps to keep freshwater cool, moderate flood storage, and provide habitat critical to salmon and other terrestrial and freshwater species. Riparian vegetation also helps to filter pollutants, stabilize stream banks, and prevent erosion. Land development in the South Sound has significantly degraded stream and river riparian habitat.  Alliance partners have ongoing or anticipated high-priority work related to protection and restoration of riparian vegetation along major rivers and small streams.</w:t>
            </w:r>
          </w:p>
        </w:tc>
        <w:tc>
          <w:tcPr>
            <w:tcW w:w="0" w:type="auto"/>
            <w:tcBorders>
              <w:top w:val="single" w:sz="6" w:space="0" w:color="auto"/>
              <w:left w:val="single" w:sz="6" w:space="0" w:color="auto"/>
              <w:bottom w:val="single" w:sz="6" w:space="0" w:color="auto"/>
              <w:right w:val="single" w:sz="6" w:space="0" w:color="auto"/>
            </w:tcBorders>
            <w:hideMark/>
          </w:tcPr>
          <w:p w14:paraId="11D9E0FB" w14:textId="77777777"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(1) Protect all intact fresh water riparian habitat in areas identified for protection or restoration in the Ecology watershed characterization, 25,664 acres</w:t>
            </w:r>
          </w:p>
          <w:p w14:paraId="39348297" w14:textId="6E98A9D7" w:rsidR="00D84E97" w:rsidRPr="00D074BB"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(2) restore 5,197 acres of fresh water riparian habitat in areas identified for protection or restoration in the Ecology watershed characterization</w:t>
            </w:r>
          </w:p>
        </w:tc>
        <w:tc>
          <w:tcPr>
            <w:tcW w:w="0" w:type="auto"/>
            <w:tcBorders>
              <w:top w:val="single" w:sz="6" w:space="0" w:color="auto"/>
              <w:left w:val="single" w:sz="6" w:space="0" w:color="auto"/>
              <w:bottom w:val="single" w:sz="6" w:space="0" w:color="auto"/>
              <w:right w:val="single" w:sz="6" w:space="0" w:color="auto"/>
            </w:tcBorders>
            <w:hideMark/>
          </w:tcPr>
          <w:p w14:paraId="2E82B8E4" w14:textId="0EE85C1A" w:rsidR="00D84E97"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t>Land Development and Land Cover</w:t>
            </w:r>
          </w:p>
        </w:tc>
      </w:tr>
      <w:tr w:rsidR="005628CB" w:rsidRPr="005628CB" w14:paraId="46D9C1B3"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44110082" w14:textId="77777777" w:rsidR="00D84E97" w:rsidRPr="005628CB" w:rsidRDefault="00D84E97" w:rsidP="00D84E97">
            <w:pPr>
              <w:spacing w:after="0" w:line="240" w:lineRule="atLeast"/>
              <w:rPr>
                <w:rFonts w:ascii="Arial" w:eastAsia="Times New Roman" w:hAnsi="Arial" w:cs="Arial"/>
                <w:sz w:val="20"/>
                <w:szCs w:val="20"/>
              </w:rPr>
            </w:pPr>
            <w:r w:rsidRPr="005628CB">
              <w:rPr>
                <w:rFonts w:ascii="Arial" w:eastAsia="Times New Roman" w:hAnsi="Arial" w:cs="Arial"/>
                <w:sz w:val="20"/>
                <w:szCs w:val="20"/>
              </w:rPr>
              <w:t>Freshwater WQ</w:t>
            </w:r>
          </w:p>
        </w:tc>
        <w:tc>
          <w:tcPr>
            <w:tcW w:w="0" w:type="auto"/>
            <w:tcBorders>
              <w:top w:val="single" w:sz="6" w:space="0" w:color="auto"/>
              <w:left w:val="single" w:sz="6" w:space="0" w:color="auto"/>
              <w:bottom w:val="single" w:sz="6" w:space="0" w:color="auto"/>
              <w:right w:val="single" w:sz="6" w:space="0" w:color="auto"/>
            </w:tcBorders>
            <w:hideMark/>
          </w:tcPr>
          <w:p w14:paraId="5B4D5E6E" w14:textId="0EDFB376" w:rsidR="00D84E97" w:rsidRPr="005628CB" w:rsidRDefault="005628CB" w:rsidP="00D84E97">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t xml:space="preserve">The statewide monitoring network has two stations on waterbodies in the South </w:t>
            </w:r>
            <w:r w:rsidRPr="005628CB">
              <w:rPr>
                <w:rFonts w:ascii="Arial" w:eastAsia="Times New Roman" w:hAnsi="Arial" w:cs="Arial"/>
                <w:color w:val="000000"/>
                <w:sz w:val="20"/>
                <w:szCs w:val="20"/>
              </w:rPr>
              <w:lastRenderedPageBreak/>
              <w:t>Sound: 1) Nisqually River at Nisqually, 2) Deschutes River at East St. Bridge. In 2013, the Nisqually River scored 83 points on the index and the Deschutes scored 78 points. Between 2000 and 2013, both stations had an average score of 75 on the index.</w:t>
            </w:r>
          </w:p>
        </w:tc>
        <w:tc>
          <w:tcPr>
            <w:tcW w:w="0" w:type="auto"/>
            <w:tcBorders>
              <w:top w:val="single" w:sz="6" w:space="0" w:color="auto"/>
              <w:left w:val="single" w:sz="6" w:space="0" w:color="auto"/>
              <w:bottom w:val="single" w:sz="6" w:space="0" w:color="auto"/>
              <w:right w:val="single" w:sz="6" w:space="0" w:color="auto"/>
            </w:tcBorders>
            <w:hideMark/>
          </w:tcPr>
          <w:p w14:paraId="422C8EAF" w14:textId="0BEBBDE7" w:rsidR="00D84E97" w:rsidRPr="005628CB" w:rsidRDefault="001D012F" w:rsidP="00D84E97">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lastRenderedPageBreak/>
              <w:t xml:space="preserve">Clean freshwater is vital to people and to fish and wildlife populations. When rivers and streams pick up </w:t>
            </w:r>
            <w:r w:rsidRPr="005628CB">
              <w:rPr>
                <w:rFonts w:ascii="Arial" w:eastAsia="Times New Roman" w:hAnsi="Arial" w:cs="Arial"/>
                <w:color w:val="000000"/>
                <w:sz w:val="20"/>
                <w:szCs w:val="20"/>
              </w:rPr>
              <w:lastRenderedPageBreak/>
              <w:t>pollutants, toxic contaminants, or excessive sediments and nutrients, the health of watersheds, marine waters, swimming beaches, and shellfish beds is adversely affected.  The State Freshwater Water Quality Index for rivers and streams combines eight measures of water quality. Four of the component measures, dissolved oxygen, pH, temperature, and fecal coliform bacteria, are tied to the state’s Water Quality Standards for protecting aquatic life and contact recreation. The other four measures, nitrogen, phosphorus, suspended sediment, and turbidity, do not have numeric standards, although they are related to general ecosystem function. A higher number is indicative of better water quality.  Monitoring of freshwater quality is ongoing in stations throughout the South Sound by the Washington Department of Ecology (Ecology).</w:t>
            </w:r>
          </w:p>
        </w:tc>
        <w:tc>
          <w:tcPr>
            <w:tcW w:w="0" w:type="auto"/>
            <w:tcBorders>
              <w:top w:val="single" w:sz="6" w:space="0" w:color="auto"/>
              <w:left w:val="single" w:sz="6" w:space="0" w:color="auto"/>
              <w:bottom w:val="single" w:sz="6" w:space="0" w:color="auto"/>
              <w:right w:val="single" w:sz="6" w:space="0" w:color="auto"/>
            </w:tcBorders>
            <w:hideMark/>
          </w:tcPr>
          <w:p w14:paraId="426A988E" w14:textId="649095F2"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lastRenderedPageBreak/>
              <w:t>AHSS will reference county targets where they exist</w:t>
            </w:r>
          </w:p>
        </w:tc>
        <w:tc>
          <w:tcPr>
            <w:tcW w:w="0" w:type="auto"/>
            <w:tcBorders>
              <w:top w:val="single" w:sz="6" w:space="0" w:color="auto"/>
              <w:left w:val="single" w:sz="6" w:space="0" w:color="auto"/>
              <w:bottom w:val="single" w:sz="6" w:space="0" w:color="auto"/>
              <w:right w:val="single" w:sz="6" w:space="0" w:color="auto"/>
            </w:tcBorders>
            <w:hideMark/>
          </w:tcPr>
          <w:p w14:paraId="0E6B5648" w14:textId="032212DD" w:rsidR="00D84E97"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t>Freshwater Quality</w:t>
            </w:r>
          </w:p>
        </w:tc>
      </w:tr>
      <w:tr w:rsidR="005628CB" w:rsidRPr="005628CB" w14:paraId="0444C795"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2AE8DD0D" w14:textId="4D3A4B5A" w:rsidR="00D84E97" w:rsidRPr="005628CB" w:rsidRDefault="00D84E97" w:rsidP="00D84E97">
            <w:pPr>
              <w:spacing w:after="0" w:line="240" w:lineRule="atLeast"/>
              <w:rPr>
                <w:rFonts w:ascii="Arial" w:eastAsia="Times New Roman" w:hAnsi="Arial" w:cs="Arial"/>
                <w:sz w:val="20"/>
                <w:szCs w:val="20"/>
              </w:rPr>
            </w:pPr>
            <w:r w:rsidRPr="005628CB">
              <w:rPr>
                <w:rFonts w:ascii="Arial" w:eastAsia="Times New Roman" w:hAnsi="Arial" w:cs="Arial"/>
                <w:sz w:val="20"/>
                <w:szCs w:val="20"/>
              </w:rPr>
              <w:t>Healthy, Productive Shellfish</w:t>
            </w:r>
          </w:p>
        </w:tc>
        <w:tc>
          <w:tcPr>
            <w:tcW w:w="0" w:type="auto"/>
            <w:tcBorders>
              <w:top w:val="single" w:sz="6" w:space="0" w:color="auto"/>
              <w:left w:val="single" w:sz="6" w:space="0" w:color="auto"/>
              <w:bottom w:val="single" w:sz="6" w:space="0" w:color="auto"/>
              <w:right w:val="single" w:sz="6" w:space="0" w:color="auto"/>
            </w:tcBorders>
            <w:hideMark/>
          </w:tcPr>
          <w:p w14:paraId="4274FA37" w14:textId="30F9E39D" w:rsidR="00D84E97" w:rsidRPr="005628CB" w:rsidRDefault="001D012F" w:rsidP="00D84E97">
            <w:pPr>
              <w:spacing w:after="0" w:line="240" w:lineRule="auto"/>
              <w:rPr>
                <w:rFonts w:ascii="Arial" w:eastAsia="Times New Roman" w:hAnsi="Arial" w:cs="Arial"/>
                <w:sz w:val="20"/>
                <w:szCs w:val="20"/>
              </w:rPr>
            </w:pPr>
            <w:r w:rsidRPr="005628CB">
              <w:rPr>
                <w:rFonts w:ascii="Arial" w:hAnsi="Arial" w:cs="Arial"/>
                <w:sz w:val="20"/>
                <w:szCs w:val="20"/>
              </w:rPr>
              <w:t xml:space="preserve">Currently, nearly 80% of the classified shellfish beds in the South Sound are open for commercial harvest (includes approved and conditional). The beaches around Harstine Island and Squaxin Island and through Pickering Passage support the largest shellfish beds </w:t>
            </w:r>
            <w:r w:rsidRPr="005628CB">
              <w:rPr>
                <w:rFonts w:ascii="Arial" w:hAnsi="Arial" w:cs="Arial"/>
                <w:sz w:val="20"/>
                <w:szCs w:val="20"/>
              </w:rPr>
              <w:lastRenderedPageBreak/>
              <w:t xml:space="preserve">accessible to harvest.  Beaches were harvest is prohibited or restricted due to wastewater treatment plant outfalls include Budd Inlet, Oakland Bay, and the western side of Key Peninsula.  Portions of the beaches near the head of Henderson Bay, Nisqually and the eastern shoreline near the cities of Steilacoom, University Place, and Tacoma are closed due to non-point source pollution (stormwater runoff).  </w:t>
            </w:r>
          </w:p>
        </w:tc>
        <w:tc>
          <w:tcPr>
            <w:tcW w:w="0" w:type="auto"/>
            <w:tcBorders>
              <w:top w:val="single" w:sz="6" w:space="0" w:color="auto"/>
              <w:left w:val="single" w:sz="6" w:space="0" w:color="auto"/>
              <w:bottom w:val="single" w:sz="6" w:space="0" w:color="auto"/>
              <w:right w:val="single" w:sz="6" w:space="0" w:color="auto"/>
            </w:tcBorders>
            <w:hideMark/>
          </w:tcPr>
          <w:p w14:paraId="1CAFD631" w14:textId="238E5A25" w:rsidR="00D84E97" w:rsidRPr="005628CB" w:rsidRDefault="001D012F" w:rsidP="00D84E97">
            <w:pPr>
              <w:spacing w:after="0" w:line="240" w:lineRule="auto"/>
              <w:rPr>
                <w:rFonts w:ascii="Arial" w:eastAsia="Times New Roman" w:hAnsi="Arial" w:cs="Arial"/>
                <w:sz w:val="20"/>
                <w:szCs w:val="20"/>
              </w:rPr>
            </w:pPr>
            <w:r w:rsidRPr="005628CB">
              <w:rPr>
                <w:rFonts w:ascii="Arial" w:hAnsi="Arial" w:cs="Arial"/>
                <w:sz w:val="20"/>
                <w:szCs w:val="20"/>
              </w:rPr>
              <w:lastRenderedPageBreak/>
              <w:t xml:space="preserve">Across the South Sound, there are over 40,000 acres of classified commercial and recreational shellfish beds. Some of those acres are closed due to pollution resulting from fecal bacteria from humans, livestock, and pets. Fecal bacteria and other contaminants can jeopardize the health of areas </w:t>
            </w:r>
            <w:r w:rsidRPr="005628CB">
              <w:rPr>
                <w:rFonts w:ascii="Arial" w:hAnsi="Arial" w:cs="Arial"/>
                <w:sz w:val="20"/>
                <w:szCs w:val="20"/>
              </w:rPr>
              <w:lastRenderedPageBreak/>
              <w:t>where oysters, clams, and other shellfish grow. Shellfish growing areas are monitored for water quality by the Washington State Department of Health and classified based on monitoring results. If water quality has improved in a shellfish growing area then it has the potential to be upgraded in classification, allowing for greater accessibility.</w:t>
            </w:r>
          </w:p>
        </w:tc>
        <w:tc>
          <w:tcPr>
            <w:tcW w:w="0" w:type="auto"/>
            <w:tcBorders>
              <w:top w:val="single" w:sz="6" w:space="0" w:color="auto"/>
              <w:left w:val="single" w:sz="6" w:space="0" w:color="auto"/>
              <w:bottom w:val="single" w:sz="6" w:space="0" w:color="auto"/>
              <w:right w:val="single" w:sz="6" w:space="0" w:color="auto"/>
            </w:tcBorders>
            <w:hideMark/>
          </w:tcPr>
          <w:p w14:paraId="20B8D0D9" w14:textId="49C00DC1" w:rsidR="00D84E97" w:rsidRPr="00D074BB" w:rsidRDefault="001D012F"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lastRenderedPageBreak/>
              <w:t xml:space="preserve">(1) Maintain all South Sound shellfish areas that are currently approved for harvest (33,691 acres); and (2) reopen 703 acres to harvest in Burley Lagoon, Oakland Bay, McLane Cove, Henderson Inlet, Rocky Bay, Vaughn Bay, Filucy Bay, and Nisqually Reach in </w:t>
            </w:r>
            <w:r w:rsidRPr="00812270">
              <w:rPr>
                <w:rFonts w:ascii="Arial" w:eastAsia="Times New Roman" w:hAnsi="Arial" w:cs="Arial"/>
                <w:sz w:val="20"/>
                <w:szCs w:val="20"/>
              </w:rPr>
              <w:lastRenderedPageBreak/>
              <w:t>accordance with shellfish protection district recovery plans.</w:t>
            </w:r>
          </w:p>
        </w:tc>
        <w:tc>
          <w:tcPr>
            <w:tcW w:w="0" w:type="auto"/>
            <w:tcBorders>
              <w:top w:val="single" w:sz="6" w:space="0" w:color="auto"/>
              <w:left w:val="single" w:sz="6" w:space="0" w:color="auto"/>
              <w:bottom w:val="single" w:sz="6" w:space="0" w:color="auto"/>
              <w:right w:val="single" w:sz="6" w:space="0" w:color="auto"/>
            </w:tcBorders>
            <w:hideMark/>
          </w:tcPr>
          <w:p w14:paraId="6D30CD67" w14:textId="506995D6" w:rsidR="00D84E97"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lastRenderedPageBreak/>
              <w:t>Shellfish Beds</w:t>
            </w:r>
          </w:p>
        </w:tc>
      </w:tr>
      <w:tr w:rsidR="005628CB" w:rsidRPr="005628CB" w14:paraId="2C377179"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5DA9469D" w14:textId="7DA610EC" w:rsidR="00D84E97" w:rsidRPr="005628CB" w:rsidRDefault="00D84E97" w:rsidP="00D84E97">
            <w:pPr>
              <w:spacing w:after="0" w:line="240" w:lineRule="atLeast"/>
              <w:rPr>
                <w:rFonts w:ascii="Arial" w:eastAsia="Times New Roman" w:hAnsi="Arial" w:cs="Arial"/>
                <w:sz w:val="20"/>
                <w:szCs w:val="20"/>
              </w:rPr>
            </w:pPr>
            <w:r w:rsidRPr="005628CB">
              <w:rPr>
                <w:rFonts w:ascii="Arial" w:eastAsia="Times New Roman" w:hAnsi="Arial" w:cs="Arial"/>
                <w:sz w:val="20"/>
                <w:szCs w:val="20"/>
              </w:rPr>
              <w:t>Human Well-Being</w:t>
            </w:r>
          </w:p>
        </w:tc>
        <w:tc>
          <w:tcPr>
            <w:tcW w:w="0" w:type="auto"/>
            <w:tcBorders>
              <w:top w:val="single" w:sz="6" w:space="0" w:color="auto"/>
              <w:left w:val="single" w:sz="6" w:space="0" w:color="auto"/>
              <w:bottom w:val="single" w:sz="6" w:space="0" w:color="auto"/>
              <w:right w:val="single" w:sz="6" w:space="0" w:color="auto"/>
            </w:tcBorders>
            <w:hideMark/>
          </w:tcPr>
          <w:p w14:paraId="4206EAAC" w14:textId="77777777" w:rsidR="00D84E97" w:rsidRPr="005628CB" w:rsidRDefault="00D84E97" w:rsidP="00D84E97">
            <w:pPr>
              <w:spacing w:after="0" w:line="240" w:lineRule="auto"/>
              <w:rPr>
                <w:rFonts w:ascii="Arial" w:eastAsia="Times New Roman" w:hAnsi="Arial" w:cs="Arial"/>
                <w:sz w:val="20"/>
                <w:szCs w:val="20"/>
              </w:rPr>
            </w:pPr>
          </w:p>
        </w:tc>
        <w:tc>
          <w:tcPr>
            <w:tcW w:w="0" w:type="auto"/>
            <w:tcBorders>
              <w:top w:val="single" w:sz="6" w:space="0" w:color="auto"/>
              <w:left w:val="single" w:sz="6" w:space="0" w:color="auto"/>
              <w:bottom w:val="single" w:sz="6" w:space="0" w:color="auto"/>
              <w:right w:val="single" w:sz="6" w:space="0" w:color="auto"/>
            </w:tcBorders>
            <w:hideMark/>
          </w:tcPr>
          <w:p w14:paraId="1E65A912" w14:textId="77777777" w:rsidR="00D84E97" w:rsidRPr="005628CB" w:rsidRDefault="00D84E97" w:rsidP="00D84E97">
            <w:pPr>
              <w:spacing w:after="0" w:line="240" w:lineRule="auto"/>
              <w:rPr>
                <w:rFonts w:ascii="Arial" w:eastAsia="Times New Roman" w:hAnsi="Arial" w:cs="Arial"/>
                <w:sz w:val="20"/>
                <w:szCs w:val="20"/>
              </w:rPr>
            </w:pPr>
          </w:p>
        </w:tc>
        <w:tc>
          <w:tcPr>
            <w:tcW w:w="0" w:type="auto"/>
            <w:tcBorders>
              <w:top w:val="single" w:sz="6" w:space="0" w:color="auto"/>
              <w:left w:val="single" w:sz="6" w:space="0" w:color="auto"/>
              <w:bottom w:val="single" w:sz="6" w:space="0" w:color="auto"/>
              <w:right w:val="single" w:sz="6" w:space="0" w:color="auto"/>
            </w:tcBorders>
            <w:hideMark/>
          </w:tcPr>
          <w:p w14:paraId="3D13D02F" w14:textId="257FC230"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Human well-being will be addressed in future versions of the recovery plan.</w:t>
            </w:r>
          </w:p>
        </w:tc>
        <w:tc>
          <w:tcPr>
            <w:tcW w:w="0" w:type="auto"/>
            <w:tcBorders>
              <w:top w:val="single" w:sz="6" w:space="0" w:color="auto"/>
              <w:left w:val="single" w:sz="6" w:space="0" w:color="auto"/>
              <w:bottom w:val="single" w:sz="6" w:space="0" w:color="auto"/>
              <w:right w:val="single" w:sz="6" w:space="0" w:color="auto"/>
            </w:tcBorders>
            <w:hideMark/>
          </w:tcPr>
          <w:p w14:paraId="3C268134" w14:textId="5C9D6C85" w:rsidR="00D84E97"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t>TBD</w:t>
            </w:r>
          </w:p>
        </w:tc>
      </w:tr>
      <w:tr w:rsidR="005628CB" w:rsidRPr="005628CB" w14:paraId="7A6E585E"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6AE5E218" w14:textId="77777777" w:rsidR="00D84E97" w:rsidRPr="005628CB" w:rsidRDefault="00D84E97" w:rsidP="00D84E97">
            <w:pPr>
              <w:spacing w:after="0" w:line="240" w:lineRule="atLeast"/>
              <w:rPr>
                <w:rFonts w:ascii="Arial" w:eastAsia="Times New Roman" w:hAnsi="Arial" w:cs="Arial"/>
                <w:sz w:val="20"/>
                <w:szCs w:val="20"/>
              </w:rPr>
            </w:pPr>
            <w:r w:rsidRPr="005628CB">
              <w:rPr>
                <w:rFonts w:ascii="Arial" w:eastAsia="Times New Roman" w:hAnsi="Arial" w:cs="Arial"/>
                <w:sz w:val="20"/>
                <w:szCs w:val="20"/>
              </w:rPr>
              <w:t>Marine Riparian</w:t>
            </w:r>
          </w:p>
        </w:tc>
        <w:tc>
          <w:tcPr>
            <w:tcW w:w="0" w:type="auto"/>
            <w:tcBorders>
              <w:top w:val="single" w:sz="6" w:space="0" w:color="auto"/>
              <w:left w:val="single" w:sz="6" w:space="0" w:color="auto"/>
              <w:bottom w:val="single" w:sz="6" w:space="0" w:color="auto"/>
              <w:right w:val="single" w:sz="6" w:space="0" w:color="auto"/>
            </w:tcBorders>
            <w:hideMark/>
          </w:tcPr>
          <w:p w14:paraId="101F9E9E" w14:textId="290AB52F" w:rsidR="00D84E97" w:rsidRPr="005628CB" w:rsidRDefault="00D84E97" w:rsidP="00D84E97">
            <w:pPr>
              <w:spacing w:after="0" w:line="240" w:lineRule="auto"/>
              <w:rPr>
                <w:rFonts w:ascii="Arial" w:eastAsia="Times New Roman" w:hAnsi="Arial" w:cs="Arial"/>
                <w:sz w:val="20"/>
                <w:szCs w:val="20"/>
              </w:rPr>
            </w:pPr>
            <w:r w:rsidRPr="005628CB">
              <w:rPr>
                <w:rFonts w:ascii="Arial" w:hAnsi="Arial" w:cs="Arial"/>
                <w:sz w:val="20"/>
                <w:szCs w:val="20"/>
              </w:rPr>
              <w:t>Of the 400 miles of shoreline in South Sound, approximately 65% (260 miles) support marine riparian cover.   Marine riparian habitat is most intact along Totten and Little Skookum Inlets, both sides of Pickering Passage, and around Harstine Island.  The shorelines with the most degraded riparian habitat cover include the northern end of Case Inlet, Budd Inlet, and the eastern shoreline near the cities of Steilacoom, University Place, and Tacoma.</w:t>
            </w:r>
          </w:p>
        </w:tc>
        <w:tc>
          <w:tcPr>
            <w:tcW w:w="0" w:type="auto"/>
            <w:tcBorders>
              <w:top w:val="single" w:sz="6" w:space="0" w:color="auto"/>
              <w:left w:val="single" w:sz="6" w:space="0" w:color="auto"/>
              <w:bottom w:val="single" w:sz="6" w:space="0" w:color="auto"/>
              <w:right w:val="single" w:sz="6" w:space="0" w:color="auto"/>
            </w:tcBorders>
            <w:hideMark/>
          </w:tcPr>
          <w:p w14:paraId="2814DC75" w14:textId="4B0C9722" w:rsidR="00D84E97" w:rsidRPr="005628CB" w:rsidRDefault="00D84E97" w:rsidP="00D84E97">
            <w:pPr>
              <w:spacing w:after="0" w:line="240" w:lineRule="auto"/>
              <w:rPr>
                <w:rFonts w:ascii="Arial" w:eastAsia="Times New Roman" w:hAnsi="Arial" w:cs="Arial"/>
                <w:sz w:val="20"/>
                <w:szCs w:val="20"/>
              </w:rPr>
            </w:pPr>
            <w:r w:rsidRPr="005628CB">
              <w:rPr>
                <w:rFonts w:ascii="Arial" w:hAnsi="Arial" w:cs="Arial"/>
                <w:sz w:val="20"/>
                <w:szCs w:val="20"/>
              </w:rPr>
              <w:t>Marine riparian vegetation provides shade, woody debris, and detritus to nearshore habitats. Riparian vegetation also helps to filter pollutants, stabilize shorelines, and prevent erosion. Alliance partners have ongoing or anticipated high-priority work related to protection and restoration of riparian vegetation.</w:t>
            </w:r>
          </w:p>
        </w:tc>
        <w:tc>
          <w:tcPr>
            <w:tcW w:w="0" w:type="auto"/>
            <w:tcBorders>
              <w:top w:val="single" w:sz="6" w:space="0" w:color="auto"/>
              <w:left w:val="single" w:sz="6" w:space="0" w:color="auto"/>
              <w:bottom w:val="single" w:sz="6" w:space="0" w:color="auto"/>
              <w:right w:val="single" w:sz="6" w:space="0" w:color="auto"/>
            </w:tcBorders>
            <w:hideMark/>
          </w:tcPr>
          <w:p w14:paraId="0121CC20" w14:textId="77777777"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(1) Protect all intact marine riparian habitat throughout South Sound, 260 miles, of which 173.8 miles are in the areas identified as a priority in the Squaxin Island Tribe Coastal Catchment Assessment and/or the Nearshore Project Selection Tool for Juvenile Salmon</w:t>
            </w:r>
          </w:p>
          <w:p w14:paraId="435A2BCD" w14:textId="5F766447" w:rsidR="00D84E97" w:rsidRPr="00D074BB"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(2) R</w:t>
            </w:r>
            <w:r w:rsidRPr="00D074BB">
              <w:rPr>
                <w:rFonts w:ascii="Arial" w:eastAsia="Times New Roman" w:hAnsi="Arial" w:cs="Arial"/>
                <w:sz w:val="20"/>
                <w:szCs w:val="20"/>
              </w:rPr>
              <w:t xml:space="preserve">estore 38.9 miles of degraded marine riparian habitat in the areas identified as a priority in the Squaxin Island Tribe Coastal Catchment Assessment and/or the </w:t>
            </w:r>
            <w:r w:rsidRPr="00D074BB">
              <w:rPr>
                <w:rFonts w:ascii="Arial" w:eastAsia="Times New Roman" w:hAnsi="Arial" w:cs="Arial"/>
                <w:sz w:val="20"/>
                <w:szCs w:val="20"/>
              </w:rPr>
              <w:lastRenderedPageBreak/>
              <w:t>Nearshore Project Selection Tool for Juvenile Salmon</w:t>
            </w:r>
          </w:p>
        </w:tc>
        <w:tc>
          <w:tcPr>
            <w:tcW w:w="0" w:type="auto"/>
            <w:tcBorders>
              <w:top w:val="single" w:sz="6" w:space="0" w:color="auto"/>
              <w:left w:val="single" w:sz="6" w:space="0" w:color="auto"/>
              <w:bottom w:val="single" w:sz="6" w:space="0" w:color="auto"/>
              <w:right w:val="single" w:sz="6" w:space="0" w:color="auto"/>
            </w:tcBorders>
            <w:hideMark/>
          </w:tcPr>
          <w:p w14:paraId="16504B72" w14:textId="1E590E46" w:rsidR="00D84E97"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lastRenderedPageBreak/>
              <w:t>Land Cover/Land Development</w:t>
            </w:r>
          </w:p>
          <w:p w14:paraId="27DC67DC" w14:textId="77777777" w:rsidR="00562635" w:rsidRPr="005F2213" w:rsidRDefault="00562635" w:rsidP="00D84E97">
            <w:pPr>
              <w:spacing w:after="0" w:line="240" w:lineRule="atLeast"/>
              <w:rPr>
                <w:rFonts w:ascii="Arial" w:eastAsia="Times New Roman" w:hAnsi="Arial" w:cs="Arial"/>
                <w:sz w:val="20"/>
                <w:szCs w:val="20"/>
              </w:rPr>
            </w:pPr>
          </w:p>
          <w:p w14:paraId="664A042C" w14:textId="77777777" w:rsidR="00562635"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t>Shoreline Armoring</w:t>
            </w:r>
          </w:p>
          <w:p w14:paraId="3B3090CB" w14:textId="77777777" w:rsidR="00562635"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br/>
              <w:t>Shellfish Beds</w:t>
            </w:r>
          </w:p>
          <w:p w14:paraId="1DBDFFDD" w14:textId="77777777" w:rsidR="00562635" w:rsidRPr="005F2213" w:rsidRDefault="00562635" w:rsidP="00D84E97">
            <w:pPr>
              <w:spacing w:after="0" w:line="240" w:lineRule="atLeast"/>
              <w:rPr>
                <w:rFonts w:ascii="Arial" w:eastAsia="Times New Roman" w:hAnsi="Arial" w:cs="Arial"/>
                <w:sz w:val="20"/>
                <w:szCs w:val="20"/>
              </w:rPr>
            </w:pPr>
          </w:p>
          <w:p w14:paraId="754F3342" w14:textId="4A372043" w:rsidR="00562635"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t>Swimming Beaches</w:t>
            </w:r>
          </w:p>
        </w:tc>
      </w:tr>
      <w:tr w:rsidR="005628CB" w:rsidRPr="005628CB" w14:paraId="0B2BA08B"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764115D7" w14:textId="77777777" w:rsidR="00D84E97" w:rsidRPr="005628CB" w:rsidRDefault="00D84E97" w:rsidP="00D84E97">
            <w:pPr>
              <w:spacing w:after="0" w:line="240" w:lineRule="atLeast"/>
              <w:rPr>
                <w:rFonts w:ascii="Arial" w:eastAsia="Times New Roman" w:hAnsi="Arial" w:cs="Arial"/>
                <w:sz w:val="20"/>
                <w:szCs w:val="20"/>
              </w:rPr>
            </w:pPr>
            <w:r w:rsidRPr="005628CB">
              <w:rPr>
                <w:rFonts w:ascii="Arial" w:eastAsia="Times New Roman" w:hAnsi="Arial" w:cs="Arial"/>
                <w:sz w:val="20"/>
                <w:szCs w:val="20"/>
              </w:rPr>
              <w:t>Marine WQ</w:t>
            </w:r>
          </w:p>
        </w:tc>
        <w:tc>
          <w:tcPr>
            <w:tcW w:w="0" w:type="auto"/>
            <w:tcBorders>
              <w:top w:val="single" w:sz="6" w:space="0" w:color="auto"/>
              <w:left w:val="single" w:sz="6" w:space="0" w:color="auto"/>
              <w:bottom w:val="single" w:sz="6" w:space="0" w:color="auto"/>
              <w:right w:val="single" w:sz="6" w:space="0" w:color="auto"/>
            </w:tcBorders>
            <w:hideMark/>
          </w:tcPr>
          <w:p w14:paraId="39EFD783" w14:textId="61F91EEA" w:rsidR="00D84E97" w:rsidRPr="005628CB" w:rsidRDefault="001D012F" w:rsidP="001D012F">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t>There are 7 individual monitoring stations in the South Sound.  In 2014, a composite score of all the stations received a Marine Water Condition Index (MWCI) score of -2 indicating a slight negative change in marine water quality.  For individual stations, both Oakland Bay and Budd Inlet received a -12 score.</w:t>
            </w:r>
          </w:p>
        </w:tc>
        <w:tc>
          <w:tcPr>
            <w:tcW w:w="0" w:type="auto"/>
            <w:tcBorders>
              <w:top w:val="single" w:sz="6" w:space="0" w:color="auto"/>
              <w:left w:val="single" w:sz="6" w:space="0" w:color="auto"/>
              <w:bottom w:val="single" w:sz="6" w:space="0" w:color="auto"/>
              <w:right w:val="single" w:sz="6" w:space="0" w:color="auto"/>
            </w:tcBorders>
            <w:hideMark/>
          </w:tcPr>
          <w:p w14:paraId="412B808D" w14:textId="531EE254" w:rsidR="00D84E97" w:rsidRPr="005628CB" w:rsidRDefault="001D012F" w:rsidP="00D84E97">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t>The opportunity to swim, fish, or dig clams in the South Sound relies on good water quality. Marine waters are affected by many different factors including weather and climate, inflow from rivers and streams, stormwater runoff, and discharges from wastewater treatment plants and industries. Excess pollution can force beach closures and shellfish harvesting restrictions, and may cause excessive algae blooms that eventually deplete oxygen levels leading to fish kills. Monitoring of marine water quality is ongoing in stations throughout the South Sound by the Washington Department of Ecology.</w:t>
            </w:r>
          </w:p>
        </w:tc>
        <w:tc>
          <w:tcPr>
            <w:tcW w:w="0" w:type="auto"/>
            <w:tcBorders>
              <w:top w:val="single" w:sz="6" w:space="0" w:color="auto"/>
              <w:left w:val="single" w:sz="6" w:space="0" w:color="auto"/>
              <w:bottom w:val="single" w:sz="6" w:space="0" w:color="auto"/>
              <w:right w:val="single" w:sz="6" w:space="0" w:color="auto"/>
            </w:tcBorders>
            <w:hideMark/>
          </w:tcPr>
          <w:p w14:paraId="3CEF7165" w14:textId="3C9FC3DA"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AHSS is considering referencing PSP targets for marine water quality</w:t>
            </w:r>
          </w:p>
        </w:tc>
        <w:tc>
          <w:tcPr>
            <w:tcW w:w="0" w:type="auto"/>
            <w:tcBorders>
              <w:top w:val="single" w:sz="6" w:space="0" w:color="auto"/>
              <w:left w:val="single" w:sz="6" w:space="0" w:color="auto"/>
              <w:bottom w:val="single" w:sz="6" w:space="0" w:color="auto"/>
              <w:right w:val="single" w:sz="6" w:space="0" w:color="auto"/>
            </w:tcBorders>
            <w:hideMark/>
          </w:tcPr>
          <w:p w14:paraId="48DE172B" w14:textId="598552BE" w:rsidR="00D84E97" w:rsidRPr="005F2213" w:rsidRDefault="00562635" w:rsidP="00562635">
            <w:pPr>
              <w:spacing w:after="0" w:line="240" w:lineRule="atLeast"/>
              <w:rPr>
                <w:rFonts w:ascii="Arial" w:eastAsia="Times New Roman" w:hAnsi="Arial" w:cs="Arial"/>
                <w:sz w:val="20"/>
                <w:szCs w:val="20"/>
              </w:rPr>
            </w:pPr>
            <w:r w:rsidRPr="005F2213">
              <w:rPr>
                <w:rFonts w:ascii="Arial" w:eastAsia="Times New Roman" w:hAnsi="Arial" w:cs="Arial"/>
                <w:sz w:val="20"/>
                <w:szCs w:val="20"/>
              </w:rPr>
              <w:t>Marine Water Quality</w:t>
            </w:r>
          </w:p>
        </w:tc>
      </w:tr>
      <w:tr w:rsidR="005628CB" w:rsidRPr="005628CB" w14:paraId="423CDD91"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23BAB8C2" w14:textId="77777777" w:rsidR="00D84E97" w:rsidRPr="005628CB" w:rsidRDefault="00D84E97" w:rsidP="00D84E97">
            <w:pPr>
              <w:spacing w:after="0" w:line="240" w:lineRule="atLeast"/>
              <w:rPr>
                <w:rFonts w:ascii="Arial" w:eastAsia="Times New Roman" w:hAnsi="Arial" w:cs="Arial"/>
                <w:sz w:val="20"/>
                <w:szCs w:val="20"/>
              </w:rPr>
            </w:pPr>
            <w:r w:rsidRPr="005628CB">
              <w:rPr>
                <w:rFonts w:ascii="Arial" w:eastAsia="Times New Roman" w:hAnsi="Arial" w:cs="Arial"/>
                <w:sz w:val="20"/>
                <w:szCs w:val="20"/>
              </w:rPr>
              <w:t>Native Salmon</w:t>
            </w:r>
          </w:p>
        </w:tc>
        <w:tc>
          <w:tcPr>
            <w:tcW w:w="0" w:type="auto"/>
            <w:tcBorders>
              <w:top w:val="single" w:sz="6" w:space="0" w:color="auto"/>
              <w:left w:val="single" w:sz="6" w:space="0" w:color="auto"/>
              <w:bottom w:val="single" w:sz="6" w:space="0" w:color="auto"/>
              <w:right w:val="single" w:sz="6" w:space="0" w:color="auto"/>
            </w:tcBorders>
            <w:hideMark/>
          </w:tcPr>
          <w:p w14:paraId="4D4EB029" w14:textId="500C6B49" w:rsidR="00D84E97" w:rsidRPr="005628CB" w:rsidRDefault="00812270" w:rsidP="00812270">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t xml:space="preserve">There are over 500 miles of salmonid-bearing streams in the South Sound with documented presence of Chinook, Coho, steelhead and bull trout. The McNeil Island and Budd Inlet areas have the least amount (1.1 miles and 5.3 miles) and Nisqually watershed has the most extensive presence (189 miles).  Spawning coho salmon have been documented in most </w:t>
            </w:r>
            <w:r w:rsidRPr="005628CB">
              <w:rPr>
                <w:rFonts w:ascii="Arial" w:eastAsia="Times New Roman" w:hAnsi="Arial" w:cs="Arial"/>
                <w:color w:val="000000"/>
                <w:sz w:val="20"/>
                <w:szCs w:val="20"/>
              </w:rPr>
              <w:lastRenderedPageBreak/>
              <w:t>areas while Chinook and steelhead trout are limited to only a few watersheds.  There is no documented spawning or rearing bull trout in any of the watersheds.</w:t>
            </w:r>
          </w:p>
        </w:tc>
        <w:tc>
          <w:tcPr>
            <w:tcW w:w="0" w:type="auto"/>
            <w:tcBorders>
              <w:top w:val="single" w:sz="6" w:space="0" w:color="auto"/>
              <w:left w:val="single" w:sz="6" w:space="0" w:color="auto"/>
              <w:bottom w:val="single" w:sz="6" w:space="0" w:color="auto"/>
              <w:right w:val="single" w:sz="6" w:space="0" w:color="auto"/>
            </w:tcBorders>
            <w:hideMark/>
          </w:tcPr>
          <w:p w14:paraId="5EC8EBE2" w14:textId="2C8DD4A2" w:rsidR="00812270" w:rsidRPr="005628CB" w:rsidRDefault="00812270" w:rsidP="00D84E97">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lastRenderedPageBreak/>
              <w:t>Salmon are a favorite food of orcas, are highly prized by anglers and commercial fisherman, and are an important cultural and economic resource for tribes. Several species of salmon are currently listed as threatened or endangered under the federal Endangered Species Act. Alliance partners have ongoing or anticipated high-priority work related to the recovery of salmon populations through protection and restoration of salmon habitat.</w:t>
            </w:r>
          </w:p>
          <w:p w14:paraId="3215D31C" w14:textId="77777777" w:rsidR="00D84E97" w:rsidRPr="005628CB" w:rsidRDefault="00D84E97" w:rsidP="005628CB">
            <w:pPr>
              <w:jc w:val="right"/>
              <w:rPr>
                <w:rFonts w:ascii="Arial" w:eastAsia="Times New Roman" w:hAnsi="Arial" w:cs="Arial"/>
                <w:sz w:val="20"/>
                <w:szCs w:val="20"/>
              </w:rPr>
            </w:pPr>
          </w:p>
        </w:tc>
        <w:tc>
          <w:tcPr>
            <w:tcW w:w="0" w:type="auto"/>
            <w:tcBorders>
              <w:top w:val="single" w:sz="6" w:space="0" w:color="auto"/>
              <w:left w:val="single" w:sz="6" w:space="0" w:color="auto"/>
              <w:bottom w:val="single" w:sz="6" w:space="0" w:color="auto"/>
              <w:right w:val="single" w:sz="6" w:space="0" w:color="auto"/>
            </w:tcBorders>
            <w:hideMark/>
          </w:tcPr>
          <w:p w14:paraId="0184F522" w14:textId="77777777"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lastRenderedPageBreak/>
              <w:t>Existing Chinook targets</w:t>
            </w:r>
          </w:p>
          <w:p w14:paraId="64BCDA50" w14:textId="761D189B" w:rsidR="00D84E97" w:rsidRPr="00D074BB"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Squaxin targets for Coho (and other species as appropriate</w:t>
            </w:r>
            <w:r w:rsidRPr="00D074BB">
              <w:rPr>
                <w:rFonts w:ascii="Arial" w:eastAsia="Times New Roman" w:hAnsi="Arial" w:cs="Arial"/>
                <w:sz w:val="20"/>
                <w:szCs w:val="20"/>
              </w:rPr>
              <w:t>)</w:t>
            </w:r>
          </w:p>
          <w:p w14:paraId="5D0E38E2" w14:textId="13124CA9" w:rsidR="00D84E97" w:rsidRPr="00D074BB" w:rsidRDefault="00D84E97" w:rsidP="00D84E97">
            <w:pPr>
              <w:spacing w:after="0" w:line="240" w:lineRule="auto"/>
              <w:rPr>
                <w:rFonts w:ascii="Arial" w:eastAsia="Times New Roman" w:hAnsi="Arial" w:cs="Arial"/>
                <w:sz w:val="20"/>
                <w:szCs w:val="20"/>
              </w:rPr>
            </w:pPr>
            <w:r w:rsidRPr="00D074BB">
              <w:rPr>
                <w:rFonts w:ascii="Arial" w:eastAsia="Times New Roman" w:hAnsi="Arial" w:cs="Arial"/>
                <w:sz w:val="20"/>
                <w:szCs w:val="20"/>
              </w:rPr>
              <w:t>Nisqually targets for Coho and steelhead (and other species as appropriate)</w:t>
            </w:r>
          </w:p>
        </w:tc>
        <w:tc>
          <w:tcPr>
            <w:tcW w:w="0" w:type="auto"/>
            <w:tcBorders>
              <w:top w:val="single" w:sz="6" w:space="0" w:color="auto"/>
              <w:left w:val="single" w:sz="6" w:space="0" w:color="auto"/>
              <w:bottom w:val="single" w:sz="6" w:space="0" w:color="auto"/>
              <w:right w:val="single" w:sz="6" w:space="0" w:color="auto"/>
            </w:tcBorders>
            <w:hideMark/>
          </w:tcPr>
          <w:p w14:paraId="05A912A4" w14:textId="6AC42F84" w:rsidR="00D84E97" w:rsidRPr="005F2213" w:rsidRDefault="00562635"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t>Chinook Salmon</w:t>
            </w:r>
          </w:p>
        </w:tc>
      </w:tr>
      <w:tr w:rsidR="005628CB" w:rsidRPr="005628CB" w14:paraId="0AB49674"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340CE229" w14:textId="77777777" w:rsidR="00D84E97" w:rsidRPr="005628CB" w:rsidRDefault="00D84E97" w:rsidP="00D84E97">
            <w:pPr>
              <w:spacing w:after="0" w:line="240" w:lineRule="atLeast"/>
              <w:rPr>
                <w:rFonts w:ascii="Arial" w:eastAsia="Times New Roman" w:hAnsi="Arial" w:cs="Arial"/>
                <w:sz w:val="20"/>
                <w:szCs w:val="20"/>
              </w:rPr>
            </w:pPr>
            <w:r w:rsidRPr="005628CB">
              <w:rPr>
                <w:rFonts w:ascii="Arial" w:eastAsia="Times New Roman" w:hAnsi="Arial" w:cs="Arial"/>
                <w:sz w:val="20"/>
                <w:szCs w:val="20"/>
              </w:rPr>
              <w:t>Oak Woodlands and Prairies</w:t>
            </w:r>
          </w:p>
        </w:tc>
        <w:tc>
          <w:tcPr>
            <w:tcW w:w="0" w:type="auto"/>
            <w:tcBorders>
              <w:top w:val="single" w:sz="6" w:space="0" w:color="auto"/>
              <w:left w:val="single" w:sz="6" w:space="0" w:color="auto"/>
              <w:bottom w:val="single" w:sz="6" w:space="0" w:color="auto"/>
              <w:right w:val="single" w:sz="6" w:space="0" w:color="auto"/>
            </w:tcBorders>
            <w:hideMark/>
          </w:tcPr>
          <w:p w14:paraId="6D4D1A9B" w14:textId="5CD89B2B" w:rsidR="00D84E97" w:rsidRPr="00D074BB" w:rsidRDefault="00812270" w:rsidP="00562635">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t>Currently, there are approximately 16,000 acres of native prairie habitat remaining in the South Sound.  Approximately 14,300 acres (90%) occur on lands protected and managed by federal and state agencies and non-governmental organizations.  Prairie habitats are generally concentrated in a few locations in the lower and middle watersheds of the Deschutes and Nisqually rivers, with the majority within the Joint Base Lewis-McChord. Oak woodlands are present on nearly 12,000 acres with the majority located in the lower Deschutes and Nisqually watersheds and the Lower Chambers-Clover watershed.  Only 36% of oak woodlands (4,300 acres) occur on land owned and managed resource agencies or non-profits.</w:t>
            </w:r>
          </w:p>
        </w:tc>
        <w:tc>
          <w:tcPr>
            <w:tcW w:w="0" w:type="auto"/>
            <w:tcBorders>
              <w:top w:val="single" w:sz="6" w:space="0" w:color="auto"/>
              <w:left w:val="single" w:sz="6" w:space="0" w:color="auto"/>
              <w:bottom w:val="single" w:sz="6" w:space="0" w:color="auto"/>
              <w:right w:val="single" w:sz="6" w:space="0" w:color="auto"/>
            </w:tcBorders>
            <w:hideMark/>
          </w:tcPr>
          <w:p w14:paraId="420292BC" w14:textId="2E0D25EE" w:rsidR="00D84E97" w:rsidRPr="00D074BB" w:rsidRDefault="00812270" w:rsidP="00D84E97">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t>Oak woodlands are one of the rarest and most endangered ecosystems in the South Sound. Dominated by Oregon white oak, the only oak species native to Washington, they contribute to the South Sound's rich biological diversity by providing feeding, breeding, resting and sheltering habitat for more than 200 species of birds, mammals, reptiles, and amphibians some of which are rare and/or threatened.  What was once over 150,000 acres of oak woodlands and prairie in the South Sound has been reduced by 90 percent. The remaining lands face many continued threats, such as conversion for agriculture or land development and invasive weeds.</w:t>
            </w:r>
          </w:p>
        </w:tc>
        <w:tc>
          <w:tcPr>
            <w:tcW w:w="0" w:type="auto"/>
            <w:tcBorders>
              <w:top w:val="single" w:sz="6" w:space="0" w:color="auto"/>
              <w:left w:val="single" w:sz="6" w:space="0" w:color="auto"/>
              <w:bottom w:val="single" w:sz="6" w:space="0" w:color="auto"/>
              <w:right w:val="single" w:sz="6" w:space="0" w:color="auto"/>
            </w:tcBorders>
            <w:hideMark/>
          </w:tcPr>
          <w:p w14:paraId="77C41BD2" w14:textId="4CA50BE5"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AHSS is compiling targets from ongoing and proposed work (e.g., Thurston County Prairie Habitat Plan). See Appendix E for details.</w:t>
            </w:r>
          </w:p>
        </w:tc>
        <w:tc>
          <w:tcPr>
            <w:tcW w:w="0" w:type="auto"/>
            <w:tcBorders>
              <w:top w:val="single" w:sz="6" w:space="0" w:color="auto"/>
              <w:left w:val="single" w:sz="6" w:space="0" w:color="auto"/>
              <w:bottom w:val="single" w:sz="6" w:space="0" w:color="auto"/>
              <w:right w:val="single" w:sz="6" w:space="0" w:color="auto"/>
            </w:tcBorders>
            <w:hideMark/>
          </w:tcPr>
          <w:p w14:paraId="396C4C36" w14:textId="035FDBC2" w:rsidR="00D84E97" w:rsidRPr="005F2213" w:rsidRDefault="005628CB"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t>Land Development/Land Cover</w:t>
            </w:r>
          </w:p>
        </w:tc>
      </w:tr>
      <w:tr w:rsidR="005628CB" w:rsidRPr="005628CB" w14:paraId="5F629AEA"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1945B185" w14:textId="53D6D5DE" w:rsidR="00D84E97" w:rsidRPr="00D074BB" w:rsidRDefault="00D84E97" w:rsidP="00D84E97">
            <w:pPr>
              <w:spacing w:after="0" w:line="240" w:lineRule="atLeast"/>
              <w:rPr>
                <w:rFonts w:ascii="Arial" w:eastAsia="Times New Roman" w:hAnsi="Arial" w:cs="Arial"/>
                <w:sz w:val="20"/>
                <w:szCs w:val="20"/>
              </w:rPr>
            </w:pPr>
            <w:r w:rsidRPr="00D074BB">
              <w:rPr>
                <w:rFonts w:ascii="Arial" w:eastAsia="Times New Roman" w:hAnsi="Arial" w:cs="Arial"/>
                <w:sz w:val="20"/>
                <w:szCs w:val="20"/>
              </w:rPr>
              <w:t>Fish Passage Barriers</w:t>
            </w:r>
          </w:p>
        </w:tc>
        <w:tc>
          <w:tcPr>
            <w:tcW w:w="0" w:type="auto"/>
            <w:tcBorders>
              <w:top w:val="single" w:sz="6" w:space="0" w:color="auto"/>
              <w:left w:val="single" w:sz="6" w:space="0" w:color="auto"/>
              <w:bottom w:val="single" w:sz="6" w:space="0" w:color="auto"/>
              <w:right w:val="single" w:sz="6" w:space="0" w:color="auto"/>
            </w:tcBorders>
            <w:hideMark/>
          </w:tcPr>
          <w:p w14:paraId="21B7FE87" w14:textId="61F4E852" w:rsidR="00D84E97" w:rsidRPr="005628CB" w:rsidRDefault="001D012F" w:rsidP="00D84E97">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t xml:space="preserve">The South Sound contains a variety of barriers to fish </w:t>
            </w:r>
            <w:r w:rsidRPr="005628CB">
              <w:rPr>
                <w:rFonts w:ascii="Arial" w:eastAsia="Times New Roman" w:hAnsi="Arial" w:cs="Arial"/>
                <w:color w:val="000000"/>
                <w:sz w:val="20"/>
                <w:szCs w:val="20"/>
              </w:rPr>
              <w:lastRenderedPageBreak/>
              <w:t>passage including the La Grande dam in upper Nisqually watershed and 285 culverts that are considered total barriers.  The Carr Inlet Group has the highest concentration of total barri</w:t>
            </w:r>
            <w:r w:rsidRPr="005628CB">
              <w:rPr>
                <w:rFonts w:ascii="Arial" w:eastAsia="Times New Roman" w:hAnsi="Arial" w:cs="Arial"/>
                <w:sz w:val="20"/>
                <w:szCs w:val="20"/>
              </w:rPr>
              <w:t>ers (58) followed by the Tottem &amp; Little Skookum Inlet Group (49).  McNeil Island has the fewest total blockages (1).</w:t>
            </w:r>
          </w:p>
        </w:tc>
        <w:tc>
          <w:tcPr>
            <w:tcW w:w="0" w:type="auto"/>
            <w:tcBorders>
              <w:top w:val="single" w:sz="6" w:space="0" w:color="auto"/>
              <w:left w:val="single" w:sz="6" w:space="0" w:color="auto"/>
              <w:bottom w:val="single" w:sz="6" w:space="0" w:color="auto"/>
              <w:right w:val="single" w:sz="6" w:space="0" w:color="auto"/>
            </w:tcBorders>
            <w:hideMark/>
          </w:tcPr>
          <w:p w14:paraId="2AAC5843" w14:textId="040474D6" w:rsidR="00D84E97" w:rsidRPr="005628CB" w:rsidRDefault="001D012F" w:rsidP="001D012F">
            <w:pPr>
              <w:spacing w:after="0" w:line="240" w:lineRule="auto"/>
              <w:rPr>
                <w:rFonts w:ascii="Arial" w:eastAsia="Times New Roman" w:hAnsi="Arial" w:cs="Arial"/>
                <w:sz w:val="20"/>
                <w:szCs w:val="20"/>
              </w:rPr>
            </w:pPr>
            <w:r w:rsidRPr="005628CB">
              <w:rPr>
                <w:rFonts w:ascii="Arial" w:eastAsia="Times New Roman" w:hAnsi="Arial" w:cs="Arial"/>
                <w:color w:val="000000"/>
                <w:sz w:val="20"/>
                <w:szCs w:val="20"/>
              </w:rPr>
              <w:lastRenderedPageBreak/>
              <w:t xml:space="preserve">The ability of salmon and steelhead to migrate upstream to their </w:t>
            </w:r>
            <w:r w:rsidRPr="005628CB">
              <w:rPr>
                <w:rFonts w:ascii="Arial" w:eastAsia="Times New Roman" w:hAnsi="Arial" w:cs="Arial"/>
                <w:color w:val="000000"/>
                <w:sz w:val="20"/>
                <w:szCs w:val="20"/>
              </w:rPr>
              <w:lastRenderedPageBreak/>
              <w:t>traditional spawning grounds is critical to their recovery. Dams, bridges, culverts, and other manmade barriers block fish passage in many streams of the South Sound, preventing access to salmonids and inhibiting overall salmon recovery.</w:t>
            </w:r>
          </w:p>
        </w:tc>
        <w:tc>
          <w:tcPr>
            <w:tcW w:w="0" w:type="auto"/>
            <w:tcBorders>
              <w:top w:val="single" w:sz="6" w:space="0" w:color="auto"/>
              <w:left w:val="single" w:sz="6" w:space="0" w:color="auto"/>
              <w:bottom w:val="single" w:sz="6" w:space="0" w:color="auto"/>
              <w:right w:val="single" w:sz="6" w:space="0" w:color="auto"/>
            </w:tcBorders>
            <w:hideMark/>
          </w:tcPr>
          <w:p w14:paraId="35EC0E82" w14:textId="77777777"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lastRenderedPageBreak/>
              <w:t xml:space="preserve">(1) Restore the [four] partial barriers in Carr Inlet, </w:t>
            </w:r>
            <w:r w:rsidRPr="00812270">
              <w:rPr>
                <w:rFonts w:ascii="Arial" w:eastAsia="Times New Roman" w:hAnsi="Arial" w:cs="Arial"/>
                <w:sz w:val="20"/>
                <w:szCs w:val="20"/>
              </w:rPr>
              <w:lastRenderedPageBreak/>
              <w:t xml:space="preserve">Henderson Inlet, and Nisqually that have a WDFW Priority Index greater than 50, </w:t>
            </w:r>
          </w:p>
          <w:p w14:paraId="3BF552CA" w14:textId="77777777" w:rsidR="00D84E97" w:rsidRPr="00D074BB"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(2) Prioritize restoring both total and partial barriers that have a WDFW Priority Index between 25 and 50 [50 barriers]</w:t>
            </w:r>
            <w:r w:rsidRPr="00D074BB">
              <w:rPr>
                <w:rFonts w:ascii="Arial" w:eastAsia="Times New Roman" w:hAnsi="Arial" w:cs="Arial"/>
                <w:sz w:val="20"/>
                <w:szCs w:val="20"/>
              </w:rPr>
              <w:t xml:space="preserve">, </w:t>
            </w:r>
          </w:p>
          <w:p w14:paraId="30C2C64D" w14:textId="4D75E6C0" w:rsidR="00D84E97" w:rsidRPr="00D074BB" w:rsidRDefault="00D84E97" w:rsidP="00D84E97">
            <w:pPr>
              <w:spacing w:after="0" w:line="240" w:lineRule="auto"/>
              <w:rPr>
                <w:rFonts w:ascii="Arial" w:eastAsia="Times New Roman" w:hAnsi="Arial" w:cs="Arial"/>
                <w:sz w:val="20"/>
                <w:szCs w:val="20"/>
              </w:rPr>
            </w:pPr>
            <w:r w:rsidRPr="00D074BB">
              <w:rPr>
                <w:rFonts w:ascii="Arial" w:eastAsia="Times New Roman" w:hAnsi="Arial" w:cs="Arial"/>
                <w:sz w:val="20"/>
                <w:szCs w:val="20"/>
              </w:rPr>
              <w:t>(3) Update the priority index rating so all barriers are rated</w:t>
            </w:r>
          </w:p>
        </w:tc>
        <w:tc>
          <w:tcPr>
            <w:tcW w:w="0" w:type="auto"/>
            <w:tcBorders>
              <w:top w:val="single" w:sz="6" w:space="0" w:color="auto"/>
              <w:left w:val="single" w:sz="6" w:space="0" w:color="auto"/>
              <w:bottom w:val="single" w:sz="6" w:space="0" w:color="auto"/>
              <w:right w:val="single" w:sz="6" w:space="0" w:color="auto"/>
            </w:tcBorders>
            <w:hideMark/>
          </w:tcPr>
          <w:p w14:paraId="3B3E4826" w14:textId="7DF25646" w:rsidR="00D84E97" w:rsidRPr="005F2213" w:rsidRDefault="00F71F27"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lastRenderedPageBreak/>
              <w:t>Land Cover/Land Development</w:t>
            </w:r>
          </w:p>
        </w:tc>
      </w:tr>
      <w:tr w:rsidR="005628CB" w:rsidRPr="005628CB" w14:paraId="44C71417" w14:textId="77777777" w:rsidTr="00D84E97">
        <w:tc>
          <w:tcPr>
            <w:tcW w:w="0" w:type="auto"/>
            <w:tcBorders>
              <w:top w:val="single" w:sz="6" w:space="0" w:color="auto"/>
              <w:left w:val="single" w:sz="6" w:space="0" w:color="auto"/>
              <w:bottom w:val="single" w:sz="6" w:space="0" w:color="auto"/>
              <w:right w:val="single" w:sz="6" w:space="0" w:color="auto"/>
            </w:tcBorders>
            <w:hideMark/>
          </w:tcPr>
          <w:p w14:paraId="1FC3EC52" w14:textId="54E4AEE5" w:rsidR="00D84E97" w:rsidRPr="005628CB" w:rsidRDefault="00D84E97" w:rsidP="00D84E97">
            <w:pPr>
              <w:spacing w:after="0" w:line="240" w:lineRule="atLeast"/>
              <w:rPr>
                <w:rFonts w:ascii="Arial" w:eastAsia="Times New Roman" w:hAnsi="Arial" w:cs="Arial"/>
                <w:sz w:val="20"/>
                <w:szCs w:val="20"/>
              </w:rPr>
            </w:pPr>
            <w:r w:rsidRPr="005628CB">
              <w:rPr>
                <w:rFonts w:ascii="Arial" w:eastAsia="Times New Roman" w:hAnsi="Arial" w:cs="Arial"/>
                <w:sz w:val="20"/>
                <w:szCs w:val="20"/>
              </w:rPr>
              <w:t>Intact Feeder Bluffs/Sediment Supply</w:t>
            </w:r>
          </w:p>
        </w:tc>
        <w:tc>
          <w:tcPr>
            <w:tcW w:w="0" w:type="auto"/>
            <w:tcBorders>
              <w:top w:val="single" w:sz="6" w:space="0" w:color="auto"/>
              <w:left w:val="single" w:sz="6" w:space="0" w:color="auto"/>
              <w:bottom w:val="single" w:sz="6" w:space="0" w:color="auto"/>
              <w:right w:val="single" w:sz="6" w:space="0" w:color="auto"/>
            </w:tcBorders>
          </w:tcPr>
          <w:p w14:paraId="3A4DBDE9" w14:textId="7D76E8F0" w:rsidR="00D84E97" w:rsidRPr="00D074BB" w:rsidRDefault="001D012F" w:rsidP="00D84E97">
            <w:pPr>
              <w:spacing w:after="0" w:line="240" w:lineRule="auto"/>
              <w:rPr>
                <w:rFonts w:ascii="Arial" w:eastAsia="Times New Roman" w:hAnsi="Arial" w:cs="Arial"/>
                <w:sz w:val="20"/>
                <w:szCs w:val="20"/>
              </w:rPr>
            </w:pPr>
            <w:r w:rsidRPr="005628CB">
              <w:rPr>
                <w:rFonts w:ascii="Arial" w:hAnsi="Arial" w:cs="Arial"/>
                <w:sz w:val="20"/>
                <w:szCs w:val="20"/>
              </w:rPr>
              <w:t>There are 494 individual drift cells in the South Sound.  Of these, 297 contain either historic or current feeder bluffs (or both) that once provided or still provide sediment supply to shoreline beaches and nearshore habitats.  Intact feeder bluffs occur where shoreline development has been less intense, such as Harstine, McNeil, and Anderson Islands, and there is less shoreline armoring.  Areas of higher density population and development have markedly reduced sediment supply from feeder bluffs, such as Carr and Case Inlets.  (It should be noted that the percent intact feeder bluff provided for each inlet/island group is a conservative estimate based on the data sources available).</w:t>
            </w:r>
          </w:p>
        </w:tc>
        <w:tc>
          <w:tcPr>
            <w:tcW w:w="0" w:type="auto"/>
            <w:tcBorders>
              <w:top w:val="single" w:sz="6" w:space="0" w:color="auto"/>
              <w:left w:val="single" w:sz="6" w:space="0" w:color="auto"/>
              <w:bottom w:val="single" w:sz="6" w:space="0" w:color="auto"/>
              <w:right w:val="single" w:sz="6" w:space="0" w:color="auto"/>
            </w:tcBorders>
            <w:hideMark/>
          </w:tcPr>
          <w:p w14:paraId="537B6F5B" w14:textId="46FFBC4C" w:rsidR="00D84E97" w:rsidRPr="00D074BB" w:rsidRDefault="00D84E97" w:rsidP="00D84E97">
            <w:pPr>
              <w:spacing w:after="0" w:line="240" w:lineRule="auto"/>
              <w:rPr>
                <w:rFonts w:ascii="Arial" w:eastAsia="Times New Roman" w:hAnsi="Arial" w:cs="Arial"/>
                <w:sz w:val="20"/>
                <w:szCs w:val="20"/>
              </w:rPr>
            </w:pPr>
            <w:r w:rsidRPr="005628CB">
              <w:rPr>
                <w:rFonts w:ascii="Arial" w:hAnsi="Arial" w:cs="Arial"/>
                <w:sz w:val="20"/>
                <w:szCs w:val="20"/>
              </w:rPr>
              <w:t>Littoral drift cells are units of the shorelines made up of feeder bluffs, which supply the sand and gravel; a transport zone in which the material moves in one direction along the beach; and areas of deposition, such as sand spits.  Some drift cells are short and some are quite long.  Intact drift cells are those that do not have barriers to sediment supply and transport, such as armoring or nearshore fill.  Protection of intact drift cells is important for forage fish spawning, including surf smelt and sand lance, which lay their eggs on the upper intertidal beach.</w:t>
            </w:r>
          </w:p>
        </w:tc>
        <w:tc>
          <w:tcPr>
            <w:tcW w:w="0" w:type="auto"/>
            <w:tcBorders>
              <w:top w:val="single" w:sz="6" w:space="0" w:color="auto"/>
              <w:left w:val="single" w:sz="6" w:space="0" w:color="auto"/>
              <w:bottom w:val="single" w:sz="6" w:space="0" w:color="auto"/>
              <w:right w:val="single" w:sz="6" w:space="0" w:color="auto"/>
            </w:tcBorders>
            <w:hideMark/>
          </w:tcPr>
          <w:p w14:paraId="416BDC7C" w14:textId="507102CC"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(1) Protect all drift cells with &gt;80% intact feeder bluffs throughout South Sound, 92.5 miles, of which 61.7 miles are in the areas identified as a priority in the Squaxin Island Tribe Coastal Catchment Assessment and/or the Nearshore Project Selection Tool for Juvenile Salmon.</w:t>
            </w:r>
          </w:p>
        </w:tc>
        <w:tc>
          <w:tcPr>
            <w:tcW w:w="0" w:type="auto"/>
            <w:tcBorders>
              <w:top w:val="single" w:sz="6" w:space="0" w:color="auto"/>
              <w:left w:val="single" w:sz="6" w:space="0" w:color="auto"/>
              <w:bottom w:val="single" w:sz="6" w:space="0" w:color="auto"/>
              <w:right w:val="single" w:sz="6" w:space="0" w:color="auto"/>
            </w:tcBorders>
            <w:hideMark/>
          </w:tcPr>
          <w:p w14:paraId="61F6667F" w14:textId="64165D95" w:rsidR="00D84E97" w:rsidRPr="005F2213" w:rsidRDefault="00F71F27"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t>Shoreline Armoring</w:t>
            </w:r>
          </w:p>
        </w:tc>
      </w:tr>
      <w:tr w:rsidR="005628CB" w:rsidRPr="005628CB" w14:paraId="282F621C" w14:textId="1748C15B" w:rsidTr="00B968DB">
        <w:tc>
          <w:tcPr>
            <w:tcW w:w="0" w:type="auto"/>
            <w:tcBorders>
              <w:top w:val="single" w:sz="6" w:space="0" w:color="auto"/>
              <w:left w:val="single" w:sz="6" w:space="0" w:color="auto"/>
              <w:bottom w:val="single" w:sz="6" w:space="0" w:color="auto"/>
              <w:right w:val="single" w:sz="6" w:space="0" w:color="auto"/>
            </w:tcBorders>
            <w:hideMark/>
          </w:tcPr>
          <w:p w14:paraId="245A9D29" w14:textId="49110787" w:rsidR="00D84E97" w:rsidRPr="00D074BB" w:rsidRDefault="00D84E97" w:rsidP="00D84E97">
            <w:pPr>
              <w:spacing w:after="0" w:line="240" w:lineRule="atLeast"/>
              <w:rPr>
                <w:rFonts w:ascii="Arial" w:eastAsia="Times New Roman" w:hAnsi="Arial" w:cs="Arial"/>
                <w:sz w:val="20"/>
                <w:szCs w:val="20"/>
              </w:rPr>
            </w:pPr>
            <w:r w:rsidRPr="00D074BB">
              <w:rPr>
                <w:rFonts w:ascii="Arial" w:eastAsia="Times New Roman" w:hAnsi="Arial" w:cs="Arial"/>
                <w:sz w:val="20"/>
                <w:szCs w:val="20"/>
              </w:rPr>
              <w:lastRenderedPageBreak/>
              <w:t>Eelgrass Beds</w:t>
            </w:r>
          </w:p>
        </w:tc>
        <w:tc>
          <w:tcPr>
            <w:tcW w:w="0" w:type="auto"/>
            <w:tcBorders>
              <w:top w:val="single" w:sz="6" w:space="0" w:color="auto"/>
              <w:left w:val="single" w:sz="6" w:space="0" w:color="auto"/>
              <w:bottom w:val="single" w:sz="6" w:space="0" w:color="auto"/>
              <w:right w:val="single" w:sz="6" w:space="0" w:color="auto"/>
            </w:tcBorders>
            <w:hideMark/>
          </w:tcPr>
          <w:p w14:paraId="434BE976" w14:textId="173AC25A" w:rsidR="00D84E97" w:rsidRPr="00D074BB" w:rsidRDefault="00D84E97" w:rsidP="00D84E97">
            <w:pPr>
              <w:spacing w:after="0" w:line="240" w:lineRule="auto"/>
              <w:rPr>
                <w:rFonts w:ascii="Arial" w:eastAsia="Times New Roman" w:hAnsi="Arial" w:cs="Arial"/>
                <w:sz w:val="20"/>
                <w:szCs w:val="20"/>
              </w:rPr>
            </w:pPr>
            <w:r w:rsidRPr="00D074BB">
              <w:rPr>
                <w:rFonts w:ascii="Arial" w:hAnsi="Arial" w:cs="Arial"/>
                <w:sz w:val="20"/>
                <w:szCs w:val="20"/>
              </w:rPr>
              <w:t>A little over 60 miles of shoreline, or 15% of the total shoreline (450 miles) supports patchy or continuous eelgrass beds.  Beds only occur in the north and eastern portion of the South Sound and not in the finger inlets or islands of the southern end.  The intertidal areas around Anderson, McNeil, and Fox Islands contain patchy eelgrass beds as annually surveyed by WDNR.  In addition, the shoreline adjacent to Steilacoom and University Place supports patchy eelgrass beds as does portions of Carr and Case Inlets. Very little (~6 miles) continuous eelgrass bed has been documented in the South Sound.</w:t>
            </w:r>
          </w:p>
        </w:tc>
        <w:tc>
          <w:tcPr>
            <w:tcW w:w="0" w:type="auto"/>
            <w:tcBorders>
              <w:top w:val="single" w:sz="6" w:space="0" w:color="auto"/>
              <w:left w:val="single" w:sz="6" w:space="0" w:color="auto"/>
              <w:bottom w:val="single" w:sz="6" w:space="0" w:color="auto"/>
              <w:right w:val="single" w:sz="6" w:space="0" w:color="auto"/>
            </w:tcBorders>
            <w:hideMark/>
          </w:tcPr>
          <w:p w14:paraId="52483D37" w14:textId="74B7609C" w:rsidR="00D84E97" w:rsidRPr="00D074BB" w:rsidRDefault="00D84E97" w:rsidP="00D84E97">
            <w:pPr>
              <w:spacing w:after="0" w:line="240" w:lineRule="auto"/>
              <w:rPr>
                <w:rFonts w:ascii="Arial" w:eastAsia="Times New Roman" w:hAnsi="Arial" w:cs="Arial"/>
                <w:sz w:val="20"/>
                <w:szCs w:val="20"/>
              </w:rPr>
            </w:pPr>
          </w:p>
        </w:tc>
        <w:tc>
          <w:tcPr>
            <w:tcW w:w="0" w:type="auto"/>
            <w:tcBorders>
              <w:top w:val="single" w:sz="6" w:space="0" w:color="auto"/>
              <w:left w:val="single" w:sz="6" w:space="0" w:color="auto"/>
              <w:bottom w:val="single" w:sz="6" w:space="0" w:color="auto"/>
              <w:right w:val="single" w:sz="6" w:space="0" w:color="auto"/>
            </w:tcBorders>
            <w:hideMark/>
          </w:tcPr>
          <w:p w14:paraId="38614FA8" w14:textId="640C4E87" w:rsidR="00D84E97" w:rsidRPr="00D074BB"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AHSS is not setting a target at this time.</w:t>
            </w:r>
          </w:p>
        </w:tc>
        <w:tc>
          <w:tcPr>
            <w:tcW w:w="0" w:type="auto"/>
            <w:tcBorders>
              <w:top w:val="single" w:sz="6" w:space="0" w:color="auto"/>
              <w:left w:val="single" w:sz="6" w:space="0" w:color="auto"/>
              <w:bottom w:val="single" w:sz="6" w:space="0" w:color="auto"/>
              <w:right w:val="single" w:sz="6" w:space="0" w:color="auto"/>
            </w:tcBorders>
            <w:hideMark/>
          </w:tcPr>
          <w:p w14:paraId="0839B05C" w14:textId="2D5A9D30" w:rsidR="00D84E97" w:rsidRPr="005F2213" w:rsidRDefault="00F71F27"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t>Eelgrass</w:t>
            </w:r>
          </w:p>
        </w:tc>
      </w:tr>
      <w:tr w:rsidR="005628CB" w:rsidRPr="005628CB" w14:paraId="40C17477"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3CD397DA" w14:textId="084CF76F" w:rsidR="00D84E97" w:rsidRPr="00D074BB" w:rsidRDefault="00D84E97" w:rsidP="00D84E97">
            <w:pPr>
              <w:spacing w:after="0" w:line="240" w:lineRule="atLeast"/>
              <w:rPr>
                <w:rFonts w:ascii="Arial" w:eastAsia="Times New Roman" w:hAnsi="Arial" w:cs="Arial"/>
                <w:sz w:val="20"/>
                <w:szCs w:val="20"/>
              </w:rPr>
            </w:pPr>
            <w:r w:rsidRPr="00D074BB">
              <w:rPr>
                <w:rFonts w:ascii="Arial" w:eastAsia="Times New Roman" w:hAnsi="Arial" w:cs="Arial"/>
                <w:sz w:val="20"/>
                <w:szCs w:val="20"/>
              </w:rPr>
              <w:t>Unarmored Shoreline</w:t>
            </w:r>
          </w:p>
        </w:tc>
        <w:tc>
          <w:tcPr>
            <w:tcW w:w="0" w:type="auto"/>
            <w:tcBorders>
              <w:top w:val="single" w:sz="6" w:space="0" w:color="auto"/>
              <w:left w:val="single" w:sz="6" w:space="0" w:color="auto"/>
              <w:bottom w:val="single" w:sz="6" w:space="0" w:color="auto"/>
              <w:right w:val="single" w:sz="6" w:space="0" w:color="auto"/>
            </w:tcBorders>
            <w:hideMark/>
          </w:tcPr>
          <w:p w14:paraId="1C754B35" w14:textId="2053FCDC" w:rsidR="00D84E97" w:rsidRPr="00D074BB" w:rsidRDefault="001D012F" w:rsidP="00D84E97">
            <w:pPr>
              <w:spacing w:after="0" w:line="240" w:lineRule="auto"/>
              <w:rPr>
                <w:rFonts w:ascii="Arial" w:eastAsia="Times New Roman" w:hAnsi="Arial" w:cs="Arial"/>
                <w:sz w:val="20"/>
                <w:szCs w:val="20"/>
              </w:rPr>
            </w:pPr>
            <w:r w:rsidRPr="00D074BB">
              <w:rPr>
                <w:rFonts w:ascii="Arial" w:hAnsi="Arial" w:cs="Arial"/>
                <w:sz w:val="20"/>
                <w:szCs w:val="20"/>
              </w:rPr>
              <w:t xml:space="preserve">Of the 400 miles of shoreline in the South Sound, approximately 120 contain some type of armoring such as bulkheads or riprap (approximately 30% of the total shoreline).  Budd, Carr, and Case Inlets have the most shoreline armoring at 53%, 48%, and 43% respectively.  </w:t>
            </w:r>
          </w:p>
        </w:tc>
        <w:tc>
          <w:tcPr>
            <w:tcW w:w="0" w:type="auto"/>
            <w:tcBorders>
              <w:top w:val="single" w:sz="6" w:space="0" w:color="auto"/>
              <w:left w:val="single" w:sz="6" w:space="0" w:color="auto"/>
              <w:bottom w:val="single" w:sz="6" w:space="0" w:color="auto"/>
              <w:right w:val="single" w:sz="6" w:space="0" w:color="auto"/>
            </w:tcBorders>
            <w:hideMark/>
          </w:tcPr>
          <w:p w14:paraId="5AD2EEE5" w14:textId="442122D0" w:rsidR="001D012F" w:rsidRPr="00D074BB" w:rsidRDefault="001D012F" w:rsidP="001D012F">
            <w:pPr>
              <w:spacing w:after="0" w:line="240" w:lineRule="auto"/>
              <w:rPr>
                <w:rFonts w:ascii="Arial" w:eastAsia="Times New Roman" w:hAnsi="Arial" w:cs="Arial"/>
                <w:sz w:val="20"/>
                <w:szCs w:val="20"/>
              </w:rPr>
            </w:pPr>
            <w:r w:rsidRPr="00D074BB">
              <w:rPr>
                <w:rFonts w:ascii="Arial" w:hAnsi="Arial" w:cs="Arial"/>
                <w:sz w:val="20"/>
                <w:szCs w:val="20"/>
              </w:rPr>
              <w:t>Shoreline armoring directly alters geologic processes that build and maintain beaches and spits. Bulkheads also impact erosion patterns on nearby beaches, alter beach substrate and hydrology, and reduce the availability of large wood. These physical changes to beaches can diminish the availability and condition of habitat and can also directly impact plants and animals.</w:t>
            </w:r>
          </w:p>
          <w:p w14:paraId="3AB8FEB7" w14:textId="77777777" w:rsidR="00D84E97" w:rsidRPr="00D074BB" w:rsidRDefault="00D84E97" w:rsidP="00D074BB">
            <w:pPr>
              <w:rPr>
                <w:rFonts w:ascii="Arial" w:eastAsia="Times New Roman" w:hAnsi="Arial" w:cs="Arial"/>
                <w:sz w:val="20"/>
                <w:szCs w:val="20"/>
              </w:rPr>
            </w:pPr>
          </w:p>
        </w:tc>
        <w:tc>
          <w:tcPr>
            <w:tcW w:w="0" w:type="auto"/>
            <w:tcBorders>
              <w:top w:val="single" w:sz="6" w:space="0" w:color="auto"/>
              <w:left w:val="single" w:sz="6" w:space="0" w:color="auto"/>
              <w:bottom w:val="single" w:sz="6" w:space="0" w:color="auto"/>
              <w:right w:val="single" w:sz="6" w:space="0" w:color="auto"/>
            </w:tcBorders>
            <w:hideMark/>
          </w:tcPr>
          <w:p w14:paraId="75D26D79" w14:textId="77777777"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lastRenderedPageBreak/>
              <w:t>(1) Protect all intact shoreline throughout South Sound, 278.6 miles, of which 193.1 miles are in the areas identified as a priority in the Squaxin Island Tribe Coastal Catchment Assessment and/or the Nearshore Project Selection Tool for Juvenile Salmon;</w:t>
            </w:r>
          </w:p>
          <w:p w14:paraId="69239B55" w14:textId="24BEB8C3" w:rsidR="00D84E97" w:rsidRPr="00812270" w:rsidRDefault="00D84E97" w:rsidP="00D84E97">
            <w:pPr>
              <w:spacing w:after="0" w:line="240" w:lineRule="auto"/>
              <w:rPr>
                <w:rFonts w:ascii="Arial" w:eastAsia="Times New Roman" w:hAnsi="Arial" w:cs="Arial"/>
                <w:sz w:val="20"/>
                <w:szCs w:val="20"/>
              </w:rPr>
            </w:pPr>
            <w:r w:rsidRPr="00812270">
              <w:rPr>
                <w:rFonts w:ascii="Arial" w:eastAsia="Times New Roman" w:hAnsi="Arial" w:cs="Arial"/>
                <w:sz w:val="20"/>
                <w:szCs w:val="20"/>
              </w:rPr>
              <w:t xml:space="preserve">(2) Restore 61.3 miles of modified shoreline in the areas identified as a priority in the Squaxin Island Tribe Coastal </w:t>
            </w:r>
            <w:r w:rsidRPr="00812270">
              <w:rPr>
                <w:rFonts w:ascii="Arial" w:eastAsia="Times New Roman" w:hAnsi="Arial" w:cs="Arial"/>
                <w:sz w:val="20"/>
                <w:szCs w:val="20"/>
              </w:rPr>
              <w:lastRenderedPageBreak/>
              <w:t>Catchment Assessment and/or the Nearshore Project Selection Tool for Juvenile Salmon.</w:t>
            </w:r>
          </w:p>
        </w:tc>
        <w:tc>
          <w:tcPr>
            <w:tcW w:w="0" w:type="auto"/>
            <w:tcBorders>
              <w:top w:val="single" w:sz="6" w:space="0" w:color="auto"/>
              <w:left w:val="single" w:sz="6" w:space="0" w:color="auto"/>
              <w:bottom w:val="single" w:sz="6" w:space="0" w:color="auto"/>
              <w:right w:val="single" w:sz="6" w:space="0" w:color="auto"/>
            </w:tcBorders>
            <w:hideMark/>
          </w:tcPr>
          <w:p w14:paraId="160B0B69" w14:textId="0BBD0B42" w:rsidR="00D84E97" w:rsidRPr="005F2213" w:rsidRDefault="00F71F27" w:rsidP="00D84E97">
            <w:pPr>
              <w:spacing w:after="0" w:line="240" w:lineRule="atLeast"/>
              <w:rPr>
                <w:rFonts w:ascii="Arial" w:eastAsia="Times New Roman" w:hAnsi="Arial" w:cs="Arial"/>
                <w:sz w:val="20"/>
                <w:szCs w:val="20"/>
              </w:rPr>
            </w:pPr>
            <w:r w:rsidRPr="005F2213">
              <w:rPr>
                <w:rFonts w:ascii="Arial" w:eastAsia="Times New Roman" w:hAnsi="Arial" w:cs="Arial"/>
                <w:sz w:val="20"/>
                <w:szCs w:val="20"/>
              </w:rPr>
              <w:lastRenderedPageBreak/>
              <w:t>Shoreline Armoring</w:t>
            </w:r>
          </w:p>
        </w:tc>
      </w:tr>
      <w:tr w:rsidR="00562635" w:rsidRPr="005628CB" w14:paraId="3B008D07" w14:textId="77777777" w:rsidTr="00B968DB">
        <w:tc>
          <w:tcPr>
            <w:tcW w:w="0" w:type="auto"/>
            <w:tcBorders>
              <w:top w:val="single" w:sz="6" w:space="0" w:color="auto"/>
              <w:left w:val="single" w:sz="6" w:space="0" w:color="auto"/>
              <w:bottom w:val="single" w:sz="6" w:space="0" w:color="auto"/>
              <w:right w:val="single" w:sz="6" w:space="0" w:color="auto"/>
            </w:tcBorders>
          </w:tcPr>
          <w:p w14:paraId="7B8F99D6" w14:textId="14FA6E10" w:rsidR="001D012F" w:rsidRPr="00D074BB" w:rsidDel="00D84E97" w:rsidRDefault="001D012F" w:rsidP="001D012F">
            <w:pPr>
              <w:spacing w:after="0" w:line="240" w:lineRule="atLeast"/>
              <w:rPr>
                <w:rFonts w:ascii="Arial" w:eastAsia="Times New Roman" w:hAnsi="Arial" w:cs="Arial"/>
                <w:sz w:val="20"/>
                <w:szCs w:val="20"/>
              </w:rPr>
            </w:pPr>
            <w:r w:rsidRPr="00D074BB">
              <w:rPr>
                <w:rFonts w:ascii="Arial" w:eastAsia="Times New Roman" w:hAnsi="Arial" w:cs="Arial"/>
                <w:sz w:val="20"/>
                <w:szCs w:val="20"/>
              </w:rPr>
              <w:t>Surf Smelt and Sand Lance Abundance and Distribution</w:t>
            </w:r>
          </w:p>
        </w:tc>
        <w:tc>
          <w:tcPr>
            <w:tcW w:w="0" w:type="auto"/>
            <w:tcBorders>
              <w:top w:val="single" w:sz="6" w:space="0" w:color="auto"/>
              <w:left w:val="single" w:sz="6" w:space="0" w:color="auto"/>
              <w:bottom w:val="single" w:sz="6" w:space="0" w:color="auto"/>
              <w:right w:val="single" w:sz="6" w:space="0" w:color="auto"/>
            </w:tcBorders>
          </w:tcPr>
          <w:p w14:paraId="4F0D9CE7" w14:textId="6098BB4E" w:rsidR="001D012F" w:rsidRPr="00D074BB" w:rsidRDefault="001D012F" w:rsidP="00F71F27">
            <w:pPr>
              <w:spacing w:after="0" w:line="240" w:lineRule="auto"/>
              <w:rPr>
                <w:rFonts w:ascii="Arial" w:hAnsi="Arial" w:cs="Arial"/>
                <w:sz w:val="20"/>
                <w:szCs w:val="20"/>
              </w:rPr>
            </w:pPr>
            <w:r w:rsidRPr="00D074BB">
              <w:rPr>
                <w:rFonts w:ascii="Arial" w:hAnsi="Arial" w:cs="Arial"/>
                <w:sz w:val="20"/>
                <w:szCs w:val="20"/>
              </w:rPr>
              <w:t xml:space="preserve">Surf smelt and sand lance spawning has been documented across the South Sound, with the greatest amount on the beaches of Harstine Island (24.6% for surf smelt and 6.2% for sand lance). Overall, surf smelt spawning areas are more abundant than sand lance with over 100 documented miles versus 15 miles, respectively.  </w:t>
            </w:r>
          </w:p>
        </w:tc>
        <w:tc>
          <w:tcPr>
            <w:tcW w:w="0" w:type="auto"/>
            <w:tcBorders>
              <w:top w:val="single" w:sz="6" w:space="0" w:color="auto"/>
              <w:left w:val="single" w:sz="6" w:space="0" w:color="auto"/>
              <w:bottom w:val="single" w:sz="6" w:space="0" w:color="auto"/>
              <w:right w:val="single" w:sz="6" w:space="0" w:color="auto"/>
            </w:tcBorders>
          </w:tcPr>
          <w:p w14:paraId="584934FD" w14:textId="267B7A64" w:rsidR="001D012F" w:rsidRPr="00D074BB" w:rsidRDefault="001D012F" w:rsidP="001D012F">
            <w:pPr>
              <w:spacing w:after="0" w:line="240" w:lineRule="auto"/>
              <w:rPr>
                <w:rFonts w:ascii="Arial" w:hAnsi="Arial" w:cs="Arial"/>
                <w:sz w:val="20"/>
                <w:szCs w:val="20"/>
              </w:rPr>
            </w:pPr>
            <w:r w:rsidRPr="00D074BB">
              <w:rPr>
                <w:rFonts w:ascii="Arial" w:hAnsi="Arial" w:cs="Arial"/>
                <w:sz w:val="20"/>
                <w:szCs w:val="20"/>
              </w:rPr>
              <w:t>Shoreline development in the South Sound has significantly decreased the amount and quality of available habitat for forage fish spawning. Forage fish such as sand lance and surf smelt rely on upper intertidal areas of nearshore beaches to spawn. Similar to herring, these fish play a unique and important intermediary role in the marine food web. They are a critical food source for larger fish, including salmon, and marine mammals.</w:t>
            </w:r>
          </w:p>
        </w:tc>
        <w:tc>
          <w:tcPr>
            <w:tcW w:w="0" w:type="auto"/>
            <w:tcBorders>
              <w:top w:val="single" w:sz="6" w:space="0" w:color="auto"/>
              <w:left w:val="single" w:sz="6" w:space="0" w:color="auto"/>
              <w:bottom w:val="single" w:sz="6" w:space="0" w:color="auto"/>
              <w:right w:val="single" w:sz="6" w:space="0" w:color="auto"/>
            </w:tcBorders>
          </w:tcPr>
          <w:p w14:paraId="0B82BD68" w14:textId="1C983EB0" w:rsidR="001D012F" w:rsidRPr="00812270" w:rsidRDefault="001D012F" w:rsidP="001D012F">
            <w:pPr>
              <w:spacing w:after="0" w:line="240" w:lineRule="auto"/>
              <w:rPr>
                <w:rFonts w:ascii="Arial" w:eastAsia="Times New Roman" w:hAnsi="Arial" w:cs="Arial"/>
                <w:sz w:val="20"/>
                <w:szCs w:val="20"/>
              </w:rPr>
            </w:pPr>
            <w:r w:rsidRPr="00812270">
              <w:rPr>
                <w:rFonts w:ascii="Arial" w:eastAsia="Times New Roman" w:hAnsi="Arial" w:cs="Arial"/>
                <w:sz w:val="20"/>
                <w:szCs w:val="20"/>
              </w:rPr>
              <w:t>AHSS is not setting a target at this time.</w:t>
            </w:r>
          </w:p>
        </w:tc>
        <w:tc>
          <w:tcPr>
            <w:tcW w:w="0" w:type="auto"/>
            <w:tcBorders>
              <w:top w:val="single" w:sz="6" w:space="0" w:color="auto"/>
              <w:left w:val="single" w:sz="6" w:space="0" w:color="auto"/>
              <w:bottom w:val="single" w:sz="6" w:space="0" w:color="auto"/>
              <w:right w:val="single" w:sz="6" w:space="0" w:color="auto"/>
            </w:tcBorders>
          </w:tcPr>
          <w:p w14:paraId="61F9568C" w14:textId="77777777" w:rsidR="001D012F" w:rsidRPr="005F2213" w:rsidRDefault="00F71F27" w:rsidP="001D012F">
            <w:pPr>
              <w:spacing w:after="0" w:line="240" w:lineRule="atLeast"/>
              <w:rPr>
                <w:rFonts w:ascii="Arial" w:eastAsia="Times New Roman" w:hAnsi="Arial" w:cs="Arial"/>
                <w:sz w:val="20"/>
                <w:szCs w:val="20"/>
              </w:rPr>
            </w:pPr>
            <w:r w:rsidRPr="005F2213">
              <w:rPr>
                <w:rFonts w:ascii="Arial" w:eastAsia="Times New Roman" w:hAnsi="Arial" w:cs="Arial"/>
                <w:sz w:val="20"/>
                <w:szCs w:val="20"/>
              </w:rPr>
              <w:t>Land Cover and Development</w:t>
            </w:r>
          </w:p>
          <w:p w14:paraId="0EF20545" w14:textId="77777777" w:rsidR="00F71F27" w:rsidRPr="005F2213" w:rsidRDefault="00F71F27" w:rsidP="001D012F">
            <w:pPr>
              <w:spacing w:after="0" w:line="240" w:lineRule="atLeast"/>
              <w:rPr>
                <w:rFonts w:ascii="Arial" w:eastAsia="Times New Roman" w:hAnsi="Arial" w:cs="Arial"/>
                <w:sz w:val="20"/>
                <w:szCs w:val="20"/>
              </w:rPr>
            </w:pPr>
          </w:p>
          <w:p w14:paraId="31A8FD0C" w14:textId="37A495E2" w:rsidR="00F71F27" w:rsidRPr="005F2213" w:rsidRDefault="00F71F27" w:rsidP="001D012F">
            <w:pPr>
              <w:spacing w:after="0" w:line="240" w:lineRule="atLeast"/>
              <w:rPr>
                <w:rFonts w:ascii="Arial" w:eastAsia="Times New Roman" w:hAnsi="Arial" w:cs="Arial"/>
                <w:sz w:val="20"/>
                <w:szCs w:val="20"/>
              </w:rPr>
            </w:pPr>
            <w:r w:rsidRPr="005F2213">
              <w:rPr>
                <w:rFonts w:ascii="Arial" w:eastAsia="Times New Roman" w:hAnsi="Arial" w:cs="Arial"/>
                <w:sz w:val="20"/>
                <w:szCs w:val="20"/>
              </w:rPr>
              <w:t>Shoreline Armoring</w:t>
            </w:r>
          </w:p>
        </w:tc>
      </w:tr>
      <w:tr w:rsidR="005628CB" w:rsidRPr="00D074BB" w14:paraId="23C5BE70" w14:textId="77777777" w:rsidTr="00B968DB">
        <w:tc>
          <w:tcPr>
            <w:tcW w:w="0" w:type="auto"/>
            <w:tcBorders>
              <w:top w:val="single" w:sz="6" w:space="0" w:color="auto"/>
              <w:left w:val="single" w:sz="6" w:space="0" w:color="auto"/>
              <w:bottom w:val="single" w:sz="6" w:space="0" w:color="auto"/>
              <w:right w:val="single" w:sz="6" w:space="0" w:color="auto"/>
            </w:tcBorders>
          </w:tcPr>
          <w:p w14:paraId="45A82744" w14:textId="514E6A7B" w:rsidR="001D012F" w:rsidRPr="00D074BB" w:rsidDel="00D84E97" w:rsidRDefault="001D012F" w:rsidP="001D012F">
            <w:pPr>
              <w:spacing w:after="0" w:line="240" w:lineRule="atLeast"/>
              <w:rPr>
                <w:rFonts w:ascii="Arial" w:eastAsia="Times New Roman" w:hAnsi="Arial" w:cs="Arial"/>
                <w:sz w:val="20"/>
                <w:szCs w:val="20"/>
              </w:rPr>
            </w:pPr>
            <w:r w:rsidRPr="00D074BB">
              <w:rPr>
                <w:rFonts w:ascii="Arial" w:eastAsia="Times New Roman" w:hAnsi="Arial" w:cs="Arial"/>
                <w:sz w:val="20"/>
                <w:szCs w:val="20"/>
              </w:rPr>
              <w:t>Herring Abundance and Distribution</w:t>
            </w:r>
          </w:p>
        </w:tc>
        <w:tc>
          <w:tcPr>
            <w:tcW w:w="0" w:type="auto"/>
            <w:tcBorders>
              <w:top w:val="single" w:sz="6" w:space="0" w:color="auto"/>
              <w:left w:val="single" w:sz="6" w:space="0" w:color="auto"/>
              <w:bottom w:val="single" w:sz="6" w:space="0" w:color="auto"/>
              <w:right w:val="single" w:sz="6" w:space="0" w:color="auto"/>
            </w:tcBorders>
          </w:tcPr>
          <w:p w14:paraId="5EF727E7" w14:textId="57064E04" w:rsidR="001D012F" w:rsidRPr="00D074BB" w:rsidRDefault="001D012F" w:rsidP="001D012F">
            <w:pPr>
              <w:spacing w:after="0" w:line="240" w:lineRule="auto"/>
              <w:rPr>
                <w:rFonts w:ascii="Arial" w:eastAsia="Times New Roman" w:hAnsi="Arial" w:cs="Arial"/>
                <w:sz w:val="20"/>
                <w:szCs w:val="20"/>
              </w:rPr>
            </w:pPr>
            <w:r w:rsidRPr="00D074BB">
              <w:rPr>
                <w:rFonts w:ascii="Arial" w:hAnsi="Arial" w:cs="Arial"/>
                <w:sz w:val="20"/>
                <w:szCs w:val="20"/>
              </w:rPr>
              <w:t>The spawning biomass of the Squaxin Pass herring population has been tracked annually by WDFW since 1973.  In 2015, the biomass was 324 tons.  The average amount over the period of record is 710 tons, with the highest year recorded as 2002 (3,150 tons) and the lowest year in 1997 (20 tons).  Herring spawning and holding areas occur mostly in Carr Inlet and north of McNeil Island, the north side of Fox Island, and south of the Key Peninsula.</w:t>
            </w:r>
          </w:p>
        </w:tc>
        <w:tc>
          <w:tcPr>
            <w:tcW w:w="0" w:type="auto"/>
            <w:tcBorders>
              <w:top w:val="single" w:sz="6" w:space="0" w:color="auto"/>
              <w:left w:val="single" w:sz="6" w:space="0" w:color="auto"/>
              <w:bottom w:val="single" w:sz="6" w:space="0" w:color="auto"/>
              <w:right w:val="single" w:sz="6" w:space="0" w:color="auto"/>
            </w:tcBorders>
          </w:tcPr>
          <w:p w14:paraId="4AC2BEB4" w14:textId="256B75CA" w:rsidR="001D012F" w:rsidRPr="00D074BB" w:rsidRDefault="001D012F" w:rsidP="001D012F">
            <w:pPr>
              <w:spacing w:after="0" w:line="240" w:lineRule="auto"/>
              <w:rPr>
                <w:rFonts w:ascii="Arial" w:eastAsia="Times New Roman" w:hAnsi="Arial" w:cs="Arial"/>
                <w:sz w:val="20"/>
                <w:szCs w:val="20"/>
              </w:rPr>
            </w:pPr>
            <w:r w:rsidRPr="00D074BB">
              <w:rPr>
                <w:rFonts w:ascii="Arial" w:hAnsi="Arial" w:cs="Arial"/>
                <w:sz w:val="20"/>
                <w:szCs w:val="20"/>
              </w:rPr>
              <w:t xml:space="preserve">Herring have an important and unique intermediary role in the food web as an essential source of food for larger fish (including salmon), seabirds, and marine mammals. They are divided into three unique genetic groupings in the Puget Sound: Cherry Point, Squaxin Pass, and all other stocks.  The Squaxin Pass stock has documented spawning grounds in South Puget Sound. The spawning biomass of Pacific herring is the estimated annual tonnage of spawning herring in Puget Sound. The 25-year mean biomass for the Squaxin Pass stock </w:t>
            </w:r>
            <w:r w:rsidRPr="00D074BB">
              <w:rPr>
                <w:rFonts w:ascii="Arial" w:hAnsi="Arial" w:cs="Arial"/>
                <w:sz w:val="20"/>
                <w:szCs w:val="20"/>
              </w:rPr>
              <w:lastRenderedPageBreak/>
              <w:t>for 1986-2010 provides an outlook on the current status of the stock.</w:t>
            </w:r>
          </w:p>
        </w:tc>
        <w:tc>
          <w:tcPr>
            <w:tcW w:w="0" w:type="auto"/>
            <w:tcBorders>
              <w:top w:val="single" w:sz="6" w:space="0" w:color="auto"/>
              <w:left w:val="single" w:sz="6" w:space="0" w:color="auto"/>
              <w:bottom w:val="single" w:sz="6" w:space="0" w:color="auto"/>
              <w:right w:val="single" w:sz="6" w:space="0" w:color="auto"/>
            </w:tcBorders>
          </w:tcPr>
          <w:p w14:paraId="2C1AEDE9" w14:textId="1D99ADD9" w:rsidR="001D012F" w:rsidRPr="00D074BB" w:rsidRDefault="001D012F" w:rsidP="001D012F">
            <w:pPr>
              <w:spacing w:after="0" w:line="240" w:lineRule="auto"/>
              <w:rPr>
                <w:rFonts w:ascii="Arial" w:eastAsia="Times New Roman" w:hAnsi="Arial" w:cs="Arial"/>
                <w:sz w:val="20"/>
                <w:szCs w:val="20"/>
              </w:rPr>
            </w:pPr>
            <w:r w:rsidRPr="00D074BB">
              <w:rPr>
                <w:rFonts w:ascii="Arial" w:eastAsia="Times New Roman" w:hAnsi="Arial" w:cs="Arial"/>
                <w:sz w:val="20"/>
                <w:szCs w:val="20"/>
              </w:rPr>
              <w:lastRenderedPageBreak/>
              <w:t>AHSS is not setting a target at this time.</w:t>
            </w:r>
          </w:p>
        </w:tc>
        <w:tc>
          <w:tcPr>
            <w:tcW w:w="0" w:type="auto"/>
            <w:tcBorders>
              <w:top w:val="single" w:sz="6" w:space="0" w:color="auto"/>
              <w:left w:val="single" w:sz="6" w:space="0" w:color="auto"/>
              <w:bottom w:val="single" w:sz="6" w:space="0" w:color="auto"/>
              <w:right w:val="single" w:sz="6" w:space="0" w:color="auto"/>
            </w:tcBorders>
          </w:tcPr>
          <w:p w14:paraId="2025DA6A" w14:textId="2C6214B9" w:rsidR="001D012F" w:rsidRPr="005F2213" w:rsidRDefault="00F71F27" w:rsidP="001D012F">
            <w:pPr>
              <w:spacing w:after="0" w:line="240" w:lineRule="atLeast"/>
              <w:rPr>
                <w:rFonts w:ascii="Arial" w:eastAsia="Times New Roman" w:hAnsi="Arial" w:cs="Arial"/>
                <w:sz w:val="20"/>
                <w:szCs w:val="20"/>
              </w:rPr>
            </w:pPr>
            <w:r w:rsidRPr="005F2213">
              <w:rPr>
                <w:rFonts w:ascii="Arial" w:eastAsia="Times New Roman" w:hAnsi="Arial" w:cs="Arial"/>
                <w:sz w:val="20"/>
                <w:szCs w:val="20"/>
              </w:rPr>
              <w:t>Pacific Herring</w:t>
            </w:r>
          </w:p>
        </w:tc>
      </w:tr>
      <w:tr w:rsidR="005628CB" w:rsidRPr="005628CB" w14:paraId="10E77239" w14:textId="77777777" w:rsidTr="00B968DB">
        <w:tc>
          <w:tcPr>
            <w:tcW w:w="0" w:type="auto"/>
            <w:tcBorders>
              <w:top w:val="single" w:sz="6" w:space="0" w:color="auto"/>
              <w:left w:val="single" w:sz="6" w:space="0" w:color="auto"/>
              <w:bottom w:val="single" w:sz="6" w:space="0" w:color="auto"/>
              <w:right w:val="single" w:sz="6" w:space="0" w:color="auto"/>
            </w:tcBorders>
          </w:tcPr>
          <w:p w14:paraId="335FC3DA" w14:textId="29F28048" w:rsidR="001D012F" w:rsidRPr="00D074BB" w:rsidRDefault="001D012F" w:rsidP="001D012F">
            <w:pPr>
              <w:spacing w:after="0" w:line="240" w:lineRule="atLeast"/>
              <w:rPr>
                <w:rFonts w:ascii="Arial" w:eastAsia="Times New Roman" w:hAnsi="Arial" w:cs="Arial"/>
                <w:sz w:val="20"/>
                <w:szCs w:val="20"/>
              </w:rPr>
            </w:pPr>
            <w:r w:rsidRPr="005628CB">
              <w:rPr>
                <w:rFonts w:ascii="Arial" w:eastAsia="Times New Roman" w:hAnsi="Arial" w:cs="Arial"/>
                <w:color w:val="000000"/>
                <w:sz w:val="20"/>
                <w:szCs w:val="20"/>
              </w:rPr>
              <w:t>Benthic Index of Biotic Integrity (B-IBI)</w:t>
            </w:r>
          </w:p>
        </w:tc>
        <w:tc>
          <w:tcPr>
            <w:tcW w:w="0" w:type="auto"/>
            <w:tcBorders>
              <w:top w:val="single" w:sz="6" w:space="0" w:color="auto"/>
              <w:left w:val="single" w:sz="6" w:space="0" w:color="auto"/>
              <w:bottom w:val="single" w:sz="6" w:space="0" w:color="auto"/>
              <w:right w:val="single" w:sz="6" w:space="0" w:color="auto"/>
            </w:tcBorders>
          </w:tcPr>
          <w:p w14:paraId="7BE950B8" w14:textId="15688463" w:rsidR="001D012F" w:rsidRPr="00D074BB" w:rsidRDefault="001D012F" w:rsidP="00D074BB">
            <w:pPr>
              <w:spacing w:after="0" w:line="240" w:lineRule="auto"/>
              <w:rPr>
                <w:rFonts w:ascii="Arial" w:hAnsi="Arial" w:cs="Arial"/>
                <w:sz w:val="20"/>
                <w:szCs w:val="20"/>
              </w:rPr>
            </w:pPr>
            <w:r w:rsidRPr="00D074BB">
              <w:rPr>
                <w:rFonts w:ascii="Arial" w:eastAsia="Times New Roman" w:hAnsi="Arial" w:cs="Arial"/>
                <w:color w:val="000000"/>
                <w:sz w:val="20"/>
                <w:szCs w:val="20"/>
              </w:rPr>
              <w:t>B-IBI sampling has been conducted at many locations in the South Sound by Ecology, Pierce, Thurston and Kitsap counties since the late 1990s. However, many locations are not regularly sampled and some have only or two sampling events.  Overall, stream conditions reported by B-IBI scores range widely throughout the South Sound and stations show both increasing and decreasing trends.</w:t>
            </w:r>
          </w:p>
        </w:tc>
        <w:tc>
          <w:tcPr>
            <w:tcW w:w="0" w:type="auto"/>
            <w:tcBorders>
              <w:top w:val="single" w:sz="6" w:space="0" w:color="auto"/>
              <w:left w:val="single" w:sz="6" w:space="0" w:color="auto"/>
              <w:bottom w:val="single" w:sz="6" w:space="0" w:color="auto"/>
              <w:right w:val="single" w:sz="6" w:space="0" w:color="auto"/>
            </w:tcBorders>
          </w:tcPr>
          <w:p w14:paraId="40CA8A78" w14:textId="082036C4" w:rsidR="001D012F" w:rsidRPr="00D074BB" w:rsidRDefault="001D012F" w:rsidP="001D012F">
            <w:pPr>
              <w:spacing w:after="0" w:line="240" w:lineRule="auto"/>
              <w:rPr>
                <w:rFonts w:ascii="Arial" w:hAnsi="Arial" w:cs="Arial"/>
                <w:sz w:val="20"/>
                <w:szCs w:val="20"/>
              </w:rPr>
            </w:pPr>
            <w:r w:rsidRPr="00D074BB">
              <w:rPr>
                <w:rFonts w:ascii="Arial" w:eastAsia="Times New Roman" w:hAnsi="Arial" w:cs="Arial"/>
                <w:color w:val="000000"/>
                <w:sz w:val="20"/>
                <w:szCs w:val="20"/>
              </w:rPr>
              <w:t>The Benthic Index of Biotic Integrity (B-IBI) describes the biological condition of stream sites and their surrounding habitat based on the diversity and relative abundance of the benthic (bottom dwelling) macroinvertebrates living there, such as mayfly larvae, stonefly larvae, caddisfly larvae, worms, beetles, snails, dragonfly larvae, and many others.  Human activities that alter a watershed and interfere with the natural processes of a stream</w:t>
            </w:r>
            <w:r w:rsidR="00D074BB" w:rsidRPr="00D074BB">
              <w:rPr>
                <w:rFonts w:ascii="Arial" w:eastAsia="Times New Roman" w:hAnsi="Arial" w:cs="Arial"/>
                <w:color w:val="000000"/>
                <w:sz w:val="20"/>
                <w:szCs w:val="20"/>
              </w:rPr>
              <w:t xml:space="preserve"> </w:t>
            </w:r>
            <w:r w:rsidRPr="00D074BB">
              <w:rPr>
                <w:rFonts w:ascii="Arial" w:eastAsia="Times New Roman" w:hAnsi="Arial" w:cs="Arial"/>
                <w:color w:val="000000"/>
                <w:sz w:val="20"/>
                <w:szCs w:val="20"/>
              </w:rPr>
              <w:t>have immediate as well as long-lasting effects on the animals that live in the stream.   B-IBI sampling can provide a measure of stream health at a given point in time as well detect changes in stream condition over time.</w:t>
            </w:r>
          </w:p>
        </w:tc>
        <w:tc>
          <w:tcPr>
            <w:tcW w:w="0" w:type="auto"/>
            <w:tcBorders>
              <w:top w:val="single" w:sz="6" w:space="0" w:color="auto"/>
              <w:left w:val="single" w:sz="6" w:space="0" w:color="auto"/>
              <w:bottom w:val="single" w:sz="6" w:space="0" w:color="auto"/>
              <w:right w:val="single" w:sz="6" w:space="0" w:color="auto"/>
            </w:tcBorders>
          </w:tcPr>
          <w:p w14:paraId="352EFF87" w14:textId="782ED0F7" w:rsidR="001D012F" w:rsidRPr="00D074BB" w:rsidRDefault="001D012F" w:rsidP="001D012F">
            <w:pPr>
              <w:spacing w:after="0" w:line="240" w:lineRule="auto"/>
              <w:rPr>
                <w:rFonts w:ascii="Arial" w:eastAsia="Times New Roman" w:hAnsi="Arial" w:cs="Arial"/>
                <w:sz w:val="20"/>
                <w:szCs w:val="20"/>
              </w:rPr>
            </w:pPr>
            <w:r w:rsidRPr="00D074BB">
              <w:rPr>
                <w:rFonts w:ascii="Arial" w:eastAsia="Times New Roman" w:hAnsi="Arial" w:cs="Arial"/>
                <w:sz w:val="20"/>
                <w:szCs w:val="20"/>
              </w:rPr>
              <w:t>AHSS is not setting a target at this time.</w:t>
            </w:r>
          </w:p>
        </w:tc>
        <w:tc>
          <w:tcPr>
            <w:tcW w:w="0" w:type="auto"/>
            <w:tcBorders>
              <w:top w:val="single" w:sz="6" w:space="0" w:color="auto"/>
              <w:left w:val="single" w:sz="6" w:space="0" w:color="auto"/>
              <w:bottom w:val="single" w:sz="6" w:space="0" w:color="auto"/>
              <w:right w:val="single" w:sz="6" w:space="0" w:color="auto"/>
            </w:tcBorders>
          </w:tcPr>
          <w:p w14:paraId="670DA107" w14:textId="15514635" w:rsidR="001D012F" w:rsidRPr="005F2213" w:rsidRDefault="00F71F27" w:rsidP="001D012F">
            <w:pPr>
              <w:spacing w:after="0" w:line="240" w:lineRule="atLeast"/>
              <w:rPr>
                <w:rFonts w:ascii="Arial" w:eastAsia="Times New Roman" w:hAnsi="Arial" w:cs="Arial"/>
                <w:sz w:val="20"/>
                <w:szCs w:val="20"/>
              </w:rPr>
            </w:pPr>
            <w:r w:rsidRPr="005F2213">
              <w:rPr>
                <w:rFonts w:ascii="Arial" w:eastAsia="Times New Roman" w:hAnsi="Arial" w:cs="Arial"/>
                <w:sz w:val="20"/>
                <w:szCs w:val="20"/>
              </w:rPr>
              <w:t>Freshwater Quality</w:t>
            </w:r>
          </w:p>
        </w:tc>
      </w:tr>
    </w:tbl>
    <w:p w14:paraId="589DD158" w14:textId="77777777" w:rsidR="00B968DB" w:rsidRPr="00B968DB" w:rsidRDefault="00B968DB" w:rsidP="00B968DB">
      <w:pPr>
        <w:spacing w:after="0" w:line="240" w:lineRule="auto"/>
        <w:rPr>
          <w:rFonts w:ascii="Times New Roman" w:eastAsia="Times New Roman" w:hAnsi="Times New Roman" w:cs="Times New Roman"/>
          <w:sz w:val="24"/>
          <w:szCs w:val="24"/>
        </w:rPr>
      </w:pPr>
      <w:r w:rsidRPr="00B968DB">
        <w:rPr>
          <w:rFonts w:ascii="Arial" w:eastAsia="Times New Roman" w:hAnsi="Arial" w:cs="Arial"/>
          <w:color w:val="000000"/>
          <w:sz w:val="27"/>
          <w:szCs w:val="27"/>
        </w:rPr>
        <w:br/>
      </w:r>
    </w:p>
    <w:p w14:paraId="39750E30" w14:textId="4C467AEC" w:rsidR="00B968DB" w:rsidRPr="005F2213" w:rsidRDefault="00DA1780" w:rsidP="00B968DB">
      <w:pPr>
        <w:spacing w:after="150" w:line="240" w:lineRule="auto"/>
        <w:rPr>
          <w:rFonts w:ascii="Arial" w:eastAsia="Times New Roman" w:hAnsi="Arial" w:cs="Arial"/>
          <w:sz w:val="20"/>
          <w:szCs w:val="20"/>
        </w:rPr>
      </w:pPr>
      <w:r w:rsidRPr="005F2213">
        <w:rPr>
          <w:rFonts w:ascii="Arial" w:eastAsia="Times New Roman" w:hAnsi="Arial" w:cs="Arial"/>
          <w:sz w:val="20"/>
          <w:szCs w:val="20"/>
        </w:rPr>
        <w:t>AHSS did not address human wellbeing components and goals during this version of the recovery plan.</w:t>
      </w:r>
    </w:p>
    <w:p w14:paraId="45CC0180" w14:textId="15161FA1" w:rsidR="00290C9D" w:rsidRDefault="00B968DB" w:rsidP="00290C9D">
      <w:pPr>
        <w:spacing w:after="0" w:line="240" w:lineRule="auto"/>
        <w:rPr>
          <w:rFonts w:ascii="Trebuchet MS" w:eastAsia="Times New Roman" w:hAnsi="Trebuchet MS" w:cs="Times New Roman"/>
          <w:b/>
          <w:bCs/>
          <w:caps/>
          <w:color w:val="003A5D"/>
          <w:kern w:val="36"/>
          <w:sz w:val="28"/>
          <w:szCs w:val="28"/>
        </w:rPr>
        <w:sectPr w:rsidR="00290C9D" w:rsidSect="00A10DE8">
          <w:type w:val="continuous"/>
          <w:pgSz w:w="15840" w:h="12240" w:orient="landscape"/>
          <w:pgMar w:top="1440" w:right="1440" w:bottom="1440" w:left="1440" w:header="720" w:footer="720" w:gutter="0"/>
          <w:cols w:space="720"/>
          <w:docGrid w:linePitch="360"/>
        </w:sectPr>
      </w:pPr>
      <w:r w:rsidRPr="00B968DB">
        <w:rPr>
          <w:rFonts w:ascii="Arial" w:eastAsia="Times New Roman" w:hAnsi="Arial" w:cs="Arial"/>
          <w:color w:val="000000"/>
          <w:sz w:val="27"/>
          <w:szCs w:val="27"/>
        </w:rPr>
        <w:br/>
      </w:r>
      <w:bookmarkStart w:id="63" w:name="_Toc462918330"/>
    </w:p>
    <w:p w14:paraId="2DC15FBA" w14:textId="24149CB1" w:rsidR="00B968DB" w:rsidRPr="00B968DB" w:rsidRDefault="00B968DB" w:rsidP="005F2213">
      <w:pPr>
        <w:spacing w:after="0" w:line="240" w:lineRule="auto"/>
        <w:rPr>
          <w:rFonts w:ascii="Trebuchet MS" w:eastAsia="Times New Roman" w:hAnsi="Trebuchet MS" w:cs="Times New Roman"/>
          <w:b/>
          <w:bCs/>
          <w:caps/>
          <w:color w:val="003A5D"/>
          <w:kern w:val="36"/>
          <w:sz w:val="28"/>
          <w:szCs w:val="28"/>
        </w:rPr>
      </w:pPr>
      <w:r w:rsidRPr="00B968DB">
        <w:rPr>
          <w:rFonts w:ascii="Trebuchet MS" w:eastAsia="Times New Roman" w:hAnsi="Trebuchet MS" w:cs="Times New Roman"/>
          <w:b/>
          <w:bCs/>
          <w:caps/>
          <w:color w:val="003A5D"/>
          <w:kern w:val="36"/>
          <w:sz w:val="28"/>
          <w:szCs w:val="28"/>
        </w:rPr>
        <w:lastRenderedPageBreak/>
        <w:t>3.0 KEY PRESSURES IN THE LIO AREA</w:t>
      </w:r>
      <w:bookmarkEnd w:id="63"/>
    </w:p>
    <w:p w14:paraId="4E212BF4" w14:textId="77777777" w:rsidR="005F2213" w:rsidRDefault="005F2213" w:rsidP="00B968DB">
      <w:pPr>
        <w:spacing w:after="150" w:line="240" w:lineRule="auto"/>
        <w:rPr>
          <w:rFonts w:ascii="Arial" w:eastAsia="Times New Roman" w:hAnsi="Arial" w:cs="Arial"/>
          <w:color w:val="003A5D"/>
          <w:sz w:val="20"/>
          <w:szCs w:val="20"/>
        </w:rPr>
      </w:pPr>
    </w:p>
    <w:p w14:paraId="6E823FDB" w14:textId="10BA176B" w:rsidR="00B968DB" w:rsidRPr="00B968DB" w:rsidRDefault="00B968DB" w:rsidP="00B968DB">
      <w:pPr>
        <w:spacing w:after="150" w:line="240" w:lineRule="auto"/>
        <w:rPr>
          <w:rFonts w:ascii="Arial" w:eastAsia="Times New Roman" w:hAnsi="Arial" w:cs="Arial"/>
          <w:color w:val="003A5D"/>
          <w:sz w:val="20"/>
          <w:szCs w:val="20"/>
        </w:rPr>
      </w:pPr>
      <w:r w:rsidRPr="00B968DB">
        <w:rPr>
          <w:rFonts w:ascii="Arial" w:eastAsia="Times New Roman" w:hAnsi="Arial" w:cs="Arial"/>
          <w:color w:val="003A5D"/>
          <w:sz w:val="20"/>
          <w:szCs w:val="20"/>
        </w:rPr>
        <w:t>Pressures are the human actions or natural processes that give rise to stress on the ecosystem, but also may provide benefits to humans. By understanding the pressures and the underlying sources and stressors, our LIO can better define the context we are working within and where we need to intervene to make progress on recovery.</w:t>
      </w:r>
    </w:p>
    <w:p w14:paraId="40CD5DC7" w14:textId="77777777" w:rsidR="00D26694" w:rsidRPr="005F2213" w:rsidRDefault="00D26694" w:rsidP="005F2213">
      <w:p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 xml:space="preserve">Preparing a list of priority human pressures on the ecosystem is a complex task for at least two reasons. First, many activities that can threaten or disrupt natural processes (“pressures”) also provide important benefits to humans (see above). The goal, therefore, is not to eliminate all pressures, but instead to understand and manage their influence to optimize both ecosystem and human benefits. Second, pressures operate on a series of nested spatial and temporal scales such that the most significant pressure in any given sub-watershed or any particular drift cell is highly dependent on the particular conditions and context in each specific place. AHSS identified pressures using existing assessments. Most pressures assessments, including the ones used here, focus at least in part on the prevalence of the pressure in the environment. This means places that are relatively less impacted by existing pressures, or pressures that have not yet been fully expressed, may show up as “lower” priority when, in fact, they should be the focus of special attention to prevent adverse impacts in the future. Similarly, pressures operate differently on different natural process or species endpoints – so a pressure that may appear less important overall may nonetheless be critically important to a particular species in a particular place. </w:t>
      </w:r>
    </w:p>
    <w:p w14:paraId="219367F2" w14:textId="77777777" w:rsidR="00D26694" w:rsidRPr="005F2213" w:rsidRDefault="00D26694" w:rsidP="005F2213">
      <w:p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In 2014 AHSS prepared a list of priority human pressures in South Puget Sound and used that list to shape identification of recovery sub-strategies and Near Term Actions submitted for inclusion in the 2014 Puget Sound Action Agenda. To prepare an updated list of human pressures on the South Sound ecosystem, AHSS started from the 2014 work and examined two additional recent pressure assessments, as follows:</w:t>
      </w:r>
    </w:p>
    <w:p w14:paraId="3A57A5FF" w14:textId="77777777" w:rsidR="00290C9D" w:rsidRDefault="00D26694" w:rsidP="005F2213">
      <w:pPr>
        <w:pStyle w:val="ListParagraph"/>
        <w:numPr>
          <w:ilvl w:val="0"/>
          <w:numId w:val="21"/>
        </w:num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The Monitoring and Adaptive Management Phase 1 effort, completed in late 2014, examined and updated pressures on salmon throughout the South Sound and produced results for the South Sound watersheds and the Nisqually watershed. This process worked from existing pressure evaluations captured in the All Salmonid Species Recovery Plan for the Marine Waters of South Puget Sound and the Chinook Salmon Recovery Plan for the Nisqually Watershed and relied on local experts to evaluate and generate updated pressures lists.</w:t>
      </w:r>
    </w:p>
    <w:p w14:paraId="4E0AD1D0" w14:textId="42F133A9" w:rsidR="00D26694" w:rsidRPr="005F2213" w:rsidRDefault="00D26694" w:rsidP="005F2213">
      <w:pPr>
        <w:pStyle w:val="ListParagraph"/>
        <w:numPr>
          <w:ilvl w:val="0"/>
          <w:numId w:val="21"/>
        </w:num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The Puget Sound Pressures Assessment, completed in late 2014, used a combination of structured expert elicitation and geospatial analysis to rank the potential impact of human stressors. These stressors can be cross-walked with their sources to generate lists of pressures. Results are provided for South Sound watersheds and for the Nisqually watershed.</w:t>
      </w:r>
    </w:p>
    <w:p w14:paraId="101FF195" w14:textId="77777777" w:rsidR="00D26694" w:rsidRPr="005F2213" w:rsidRDefault="00D26694" w:rsidP="005F2213">
      <w:p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 xml:space="preserve">Each assessment was reviewed and individual assessment results were tabulated, along with the 2014 AHSS priority pressures list. Two of the assessments, the 2014 AHSS work and the Puget Sound Pressures Assessment, produced results at the stressor level. Stressor results were cross-walked to the standard menu of human pressures used in PSP recovery planning for comparison to the other assessments.  </w:t>
      </w:r>
    </w:p>
    <w:p w14:paraId="34838C83" w14:textId="77777777" w:rsidR="00D26694" w:rsidRPr="005F2213" w:rsidRDefault="00D26694" w:rsidP="005F2213">
      <w:p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 xml:space="preserve">The result of these efforts is a set of tables that allows comparison across the existing assessments. A binning process was used to identify pressures that were ranked highly in multiple assessments. Pressures that were identified as priorities in both of the locally focused assessments (the 2014 South Sound work and the monitoring and adaptive management work) are placed in bin 1; pressures identified as priorities one or more of the locally focused assessments in bin 2. </w:t>
      </w:r>
    </w:p>
    <w:p w14:paraId="35B25DF3" w14:textId="77777777" w:rsidR="00D26694" w:rsidRPr="005F2213" w:rsidRDefault="00D26694" w:rsidP="005F2213">
      <w:pPr>
        <w:spacing w:after="150" w:line="240" w:lineRule="auto"/>
        <w:rPr>
          <w:rFonts w:ascii="Arial" w:eastAsia="Times New Roman" w:hAnsi="Arial" w:cs="Arial"/>
          <w:color w:val="003A5D"/>
          <w:sz w:val="20"/>
          <w:szCs w:val="20"/>
        </w:rPr>
      </w:pPr>
    </w:p>
    <w:p w14:paraId="15D5EDA3" w14:textId="043EDDBA" w:rsidR="00D26694" w:rsidRPr="005F2213" w:rsidRDefault="00D26694" w:rsidP="00D26694">
      <w:p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lastRenderedPageBreak/>
        <w:t xml:space="preserve">The South Sound pressure identification methodology and pressure/stressor crosswalk were developed by the South Sound Technical Team in consultation with the AHSS Council. The AHSS Executive Committee approved the South Sound pressures methodology and bin-level results during their July 22, 2015 Executive Committee meeting. </w:t>
      </w:r>
    </w:p>
    <w:p w14:paraId="4119FAED" w14:textId="10C53408" w:rsidR="00D26694" w:rsidRPr="005F2213" w:rsidRDefault="00D26694" w:rsidP="005F2213">
      <w:p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AHSS focused its initial recovery planning work on the subset of pressures that were identified as priorities in both local pressure assessments (i.e., bin 1, as described above). These are the following pressures: Housing &amp; Urban Areas; Roads and Railroads (including culverts); Shipping Lands and Dredged Waterways; Abstraction of Surface Water; Abstraction of Ground Water; Freshwater Shoreline Infrastructure; Marine Shoreline Infrastructure; Domestic and Municipal Wastewater to Sewer; Runoff from Residential and Commercial Lands; Agricultural and Forestry Effluents; and, Air-Borne Pollutants. To that list the AHSS Technical Team recommended, and the AHSS Executive Committee approved, addition of two stressors that were identified in only one of the local assessments but are known and significant problems in the south sound: Dams and Domestic and Commercial Waste Water to On Site Sewage.</w:t>
      </w:r>
    </w:p>
    <w:p w14:paraId="79098D0E" w14:textId="11ADDAD2" w:rsidR="00D26694" w:rsidRPr="005F2213" w:rsidRDefault="00D26694" w:rsidP="005F2213">
      <w:p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Pressures identified were cross-walked to stressors using the PSPA stressor / pressure crosswalk, emphasizing stressors that had a “high” or “very high” relationship</w:t>
      </w:r>
      <w:r w:rsidR="006501FF" w:rsidRPr="005F2213">
        <w:rPr>
          <w:rFonts w:ascii="Arial" w:eastAsia="Times New Roman" w:hAnsi="Arial" w:cs="Arial"/>
          <w:color w:val="003A5D"/>
          <w:sz w:val="20"/>
          <w:szCs w:val="20"/>
        </w:rPr>
        <w:t xml:space="preserve"> to initial priority pressures. </w:t>
      </w:r>
      <w:r w:rsidRPr="005F2213">
        <w:rPr>
          <w:rFonts w:ascii="Arial" w:eastAsia="Times New Roman" w:hAnsi="Arial" w:cs="Arial"/>
          <w:color w:val="003A5D"/>
          <w:sz w:val="20"/>
          <w:szCs w:val="20"/>
        </w:rPr>
        <w:t xml:space="preserve">The South Sound Technical Team, in consultation with the AHSS Council, carried out this effort. The </w:t>
      </w:r>
      <w:r w:rsidR="006501FF" w:rsidRPr="005F2213">
        <w:rPr>
          <w:rFonts w:ascii="Arial" w:eastAsia="Times New Roman" w:hAnsi="Arial" w:cs="Arial"/>
          <w:color w:val="003A5D"/>
          <w:sz w:val="20"/>
          <w:szCs w:val="20"/>
        </w:rPr>
        <w:t xml:space="preserve">AHSS </w:t>
      </w:r>
      <w:r w:rsidRPr="005F2213">
        <w:rPr>
          <w:rFonts w:ascii="Arial" w:eastAsia="Times New Roman" w:hAnsi="Arial" w:cs="Arial"/>
          <w:color w:val="003A5D"/>
          <w:sz w:val="20"/>
          <w:szCs w:val="20"/>
        </w:rPr>
        <w:t xml:space="preserve">Executive Committee affirmed the subset of pressures and stressors described in this initial effort at their September 23, 2015 meeting.  </w:t>
      </w:r>
    </w:p>
    <w:p w14:paraId="77780051" w14:textId="308301E3" w:rsidR="00D26694" w:rsidRPr="005F2213" w:rsidRDefault="00D26694" w:rsidP="005F2213">
      <w:p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 xml:space="preserve">Pressures/stressors from the resulting menu were crosswalked to the PSP substrategies identified by AHSS as best representing our current and emerging work, and then were further reduced (or focused) based on the content of AHSS’s current near-term actions included in the 2014 </w:t>
      </w:r>
      <w:r w:rsidR="006501FF" w:rsidRPr="005F2213">
        <w:rPr>
          <w:rFonts w:ascii="Arial" w:eastAsia="Times New Roman" w:hAnsi="Arial" w:cs="Arial"/>
          <w:color w:val="003A5D"/>
          <w:sz w:val="20"/>
          <w:szCs w:val="20"/>
        </w:rPr>
        <w:t xml:space="preserve">and 2016 </w:t>
      </w:r>
      <w:r w:rsidRPr="005F2213">
        <w:rPr>
          <w:rFonts w:ascii="Arial" w:eastAsia="Times New Roman" w:hAnsi="Arial" w:cs="Arial"/>
          <w:color w:val="003A5D"/>
          <w:sz w:val="20"/>
          <w:szCs w:val="20"/>
        </w:rPr>
        <w:t>Action Agenda. This resulted in a limited list of press</w:t>
      </w:r>
      <w:r w:rsidR="006501FF" w:rsidRPr="005F2213">
        <w:rPr>
          <w:rFonts w:ascii="Arial" w:eastAsia="Times New Roman" w:hAnsi="Arial" w:cs="Arial"/>
          <w:color w:val="003A5D"/>
          <w:sz w:val="20"/>
          <w:szCs w:val="20"/>
        </w:rPr>
        <w:t xml:space="preserve">ures and stressors to highlight, </w:t>
      </w:r>
      <w:r w:rsidRPr="005F2213">
        <w:rPr>
          <w:rFonts w:ascii="Arial" w:eastAsia="Times New Roman" w:hAnsi="Arial" w:cs="Arial"/>
          <w:color w:val="003A5D"/>
          <w:sz w:val="20"/>
          <w:szCs w:val="20"/>
        </w:rPr>
        <w:t>as follows.</w:t>
      </w:r>
    </w:p>
    <w:p w14:paraId="12CAB396" w14:textId="77777777" w:rsidR="00D26694" w:rsidRPr="005F2213" w:rsidRDefault="00D26694" w:rsidP="005F2213">
      <w:pPr>
        <w:spacing w:after="150" w:line="240" w:lineRule="auto"/>
        <w:rPr>
          <w:rFonts w:ascii="Arial" w:eastAsia="Times New Roman" w:hAnsi="Arial" w:cs="Arial"/>
          <w:color w:val="003A5D"/>
          <w:sz w:val="20"/>
          <w:szCs w:val="20"/>
        </w:rPr>
      </w:pPr>
      <w:r w:rsidRPr="005F2213">
        <w:rPr>
          <w:rFonts w:ascii="Arial" w:hAnsi="Arial" w:cs="Arial"/>
          <w:b/>
          <w:sz w:val="20"/>
          <w:szCs w:val="20"/>
        </w:rPr>
        <w:t>Housing &amp; Urban Areas, Commercial &amp; Industrial Areas, Tourism &amp; Recreation Areas, Annual &amp; Perennial Non-Timber Crops, Runoff from Residential and Commercial Lands</w:t>
      </w:r>
      <w:r w:rsidRPr="005F2213">
        <w:rPr>
          <w:rFonts w:ascii="Arial" w:eastAsia="Times New Roman" w:hAnsi="Arial" w:cs="Arial"/>
          <w:color w:val="003A5D"/>
          <w:sz w:val="20"/>
          <w:szCs w:val="20"/>
        </w:rPr>
        <w:t xml:space="preserve">: These pressures are grouped because they generally represent pressure on the natural environment in the form of increased stormwater runoff, uptake of freshwater resources for human consumption, increased coverage by impervious surfaces, and altered peak and low water flows. </w:t>
      </w:r>
    </w:p>
    <w:p w14:paraId="22990F6B" w14:textId="77777777" w:rsidR="00D26694" w:rsidRPr="005F2213" w:rsidRDefault="00D26694" w:rsidP="005F2213">
      <w:pPr>
        <w:spacing w:after="150" w:line="240" w:lineRule="auto"/>
        <w:rPr>
          <w:rFonts w:ascii="Arial" w:eastAsia="Times New Roman" w:hAnsi="Arial" w:cs="Arial"/>
          <w:color w:val="003A5D"/>
          <w:sz w:val="20"/>
          <w:szCs w:val="20"/>
        </w:rPr>
      </w:pPr>
      <w:r w:rsidRPr="005F2213">
        <w:rPr>
          <w:rFonts w:ascii="Arial" w:hAnsi="Arial" w:cs="Arial"/>
          <w:b/>
          <w:sz w:val="20"/>
          <w:szCs w:val="20"/>
        </w:rPr>
        <w:t>Roads &amp; Railroads (Including Culverts)</w:t>
      </w:r>
      <w:r w:rsidRPr="005F2213">
        <w:rPr>
          <w:rFonts w:ascii="Arial" w:eastAsia="Times New Roman" w:hAnsi="Arial" w:cs="Arial"/>
          <w:color w:val="003A5D"/>
          <w:sz w:val="20"/>
          <w:szCs w:val="20"/>
        </w:rPr>
        <w:t>: Transportation infrastructure in South Sound has a significant impact on ecosystem function. Vehicle pollution and runoff into freshwater and marine water systems, and impediments to natural ecosystem function such as railroad levees and culverts, are significant stressors.</w:t>
      </w:r>
    </w:p>
    <w:p w14:paraId="139E1BEA" w14:textId="77777777" w:rsidR="00D26694" w:rsidRPr="005F2213" w:rsidRDefault="00D26694" w:rsidP="005F2213">
      <w:pPr>
        <w:spacing w:after="150" w:line="240" w:lineRule="auto"/>
        <w:rPr>
          <w:rFonts w:ascii="Arial" w:eastAsia="Times New Roman" w:hAnsi="Arial" w:cs="Arial"/>
          <w:color w:val="003A5D"/>
          <w:sz w:val="20"/>
          <w:szCs w:val="20"/>
        </w:rPr>
      </w:pPr>
      <w:r w:rsidRPr="005F2213">
        <w:rPr>
          <w:rFonts w:ascii="Arial" w:hAnsi="Arial" w:cs="Arial"/>
          <w:b/>
          <w:sz w:val="20"/>
          <w:szCs w:val="20"/>
        </w:rPr>
        <w:t>Freshwater &amp; Marine Levees, Floodgates &amp;Tidegates, and Freshwater &amp; Marine Shoreline Infrastructure, Dams</w:t>
      </w:r>
      <w:r w:rsidRPr="005F2213">
        <w:rPr>
          <w:rFonts w:ascii="Arial" w:eastAsia="Times New Roman" w:hAnsi="Arial" w:cs="Arial"/>
          <w:color w:val="003A5D"/>
          <w:sz w:val="20"/>
          <w:szCs w:val="20"/>
        </w:rPr>
        <w:t>: This group of pressures shares several related stressors, including shoreline hardening, culverts and other fish passage barriers, altered peak and low flows from land cover change, prevention of flood flows, and shading of shallow water habitat. Addressing these pressures is considered a vital element of restoring natural ecosystem function in South Sound.</w:t>
      </w:r>
    </w:p>
    <w:p w14:paraId="57257EEB" w14:textId="77777777" w:rsidR="00D26694" w:rsidRPr="005F2213" w:rsidRDefault="00D26694" w:rsidP="005F2213">
      <w:pPr>
        <w:spacing w:after="150" w:line="240" w:lineRule="auto"/>
        <w:rPr>
          <w:rFonts w:ascii="Arial" w:eastAsia="Times New Roman" w:hAnsi="Arial" w:cs="Arial"/>
          <w:color w:val="003A5D"/>
          <w:sz w:val="20"/>
          <w:szCs w:val="20"/>
        </w:rPr>
      </w:pPr>
      <w:r w:rsidRPr="005F2213">
        <w:rPr>
          <w:rFonts w:ascii="Arial" w:hAnsi="Arial" w:cs="Arial"/>
          <w:b/>
          <w:sz w:val="20"/>
          <w:szCs w:val="20"/>
        </w:rPr>
        <w:t>Agricultural &amp; Forestry Effluents</w:t>
      </w:r>
      <w:r w:rsidRPr="005F2213">
        <w:rPr>
          <w:rFonts w:ascii="Arial" w:eastAsia="Times New Roman" w:hAnsi="Arial" w:cs="Arial"/>
          <w:color w:val="003A5D"/>
          <w:sz w:val="20"/>
          <w:szCs w:val="20"/>
        </w:rPr>
        <w:t>: Given the large number of tribal, private, and government-owned forest lands, in addition to significant agricultural activities, South Sound partners are concerned with limiting persistent toxic chemicals in aquatic systems as well as conventional water pollutants.</w:t>
      </w:r>
    </w:p>
    <w:p w14:paraId="7ACCD8AC" w14:textId="3C1C520E" w:rsidR="00D26694" w:rsidRPr="005F2213" w:rsidRDefault="00D26694" w:rsidP="00D26694">
      <w:pPr>
        <w:spacing w:after="150" w:line="240" w:lineRule="auto"/>
        <w:rPr>
          <w:rFonts w:ascii="Arial" w:eastAsia="Times New Roman" w:hAnsi="Arial" w:cs="Arial"/>
          <w:color w:val="003A5D"/>
          <w:sz w:val="20"/>
          <w:szCs w:val="20"/>
        </w:rPr>
      </w:pPr>
      <w:r w:rsidRPr="005F2213">
        <w:rPr>
          <w:rFonts w:ascii="Arial" w:hAnsi="Arial" w:cs="Arial"/>
          <w:b/>
          <w:sz w:val="20"/>
          <w:szCs w:val="20"/>
        </w:rPr>
        <w:t>OSS - Domestic and Commercial Wastewater to On-site Sewage Systems</w:t>
      </w:r>
      <w:r w:rsidRPr="005F2213">
        <w:rPr>
          <w:rFonts w:ascii="Arial" w:eastAsia="Times New Roman" w:hAnsi="Arial" w:cs="Arial"/>
          <w:color w:val="003A5D"/>
          <w:sz w:val="20"/>
          <w:szCs w:val="20"/>
        </w:rPr>
        <w:t>: Limiting the introduction, spread, or amplification of human pathogens into South Sound’s ecosystem affects multiple South Sound Vital Signs, including marine water quality, swimming beaches, shellfish beds, and freshwater quality.</w:t>
      </w:r>
    </w:p>
    <w:p w14:paraId="0C2BDAFB" w14:textId="59430B1E" w:rsidR="00B968DB" w:rsidRPr="0096730F" w:rsidRDefault="00B968DB" w:rsidP="0096730F">
      <w:pPr>
        <w:spacing w:after="150" w:line="240" w:lineRule="auto"/>
        <w:rPr>
          <w:rFonts w:ascii="Arial" w:eastAsia="Times New Roman" w:hAnsi="Arial" w:cs="Arial"/>
          <w:color w:val="003A5D"/>
          <w:sz w:val="20"/>
          <w:szCs w:val="20"/>
        </w:rPr>
      </w:pPr>
      <w:r w:rsidRPr="00B968DB">
        <w:rPr>
          <w:rFonts w:ascii="Arial" w:eastAsia="Times New Roman" w:hAnsi="Arial" w:cs="Arial"/>
          <w:color w:val="003A5D"/>
          <w:sz w:val="20"/>
          <w:szCs w:val="20"/>
        </w:rPr>
        <w:lastRenderedPageBreak/>
        <w:t>For a list of pressure sources and stressors of concern in the LIO, see Appendix B.</w:t>
      </w:r>
      <w:r w:rsidR="0096730F">
        <w:rPr>
          <w:rFonts w:ascii="Arial" w:eastAsia="Times New Roman" w:hAnsi="Arial" w:cs="Arial"/>
          <w:color w:val="003A5D"/>
          <w:sz w:val="20"/>
          <w:szCs w:val="20"/>
        </w:rPr>
        <w:t xml:space="preserve"> </w:t>
      </w:r>
      <w:r w:rsidRPr="0096730F">
        <w:rPr>
          <w:rFonts w:ascii="Arial" w:eastAsia="Times New Roman" w:hAnsi="Arial" w:cs="Arial"/>
          <w:color w:val="003A5D"/>
          <w:sz w:val="20"/>
          <w:szCs w:val="20"/>
        </w:rPr>
        <w:t>Pressures and their relationship to Vital Signs and components in the LIO area</w:t>
      </w:r>
      <w:r w:rsidR="0096730F" w:rsidRPr="0096730F">
        <w:rPr>
          <w:rFonts w:ascii="Arial" w:eastAsia="Times New Roman" w:hAnsi="Arial" w:cs="Arial"/>
          <w:color w:val="003A5D"/>
          <w:sz w:val="20"/>
          <w:szCs w:val="20"/>
        </w:rPr>
        <w:t xml:space="preserve"> are included in Appendix </w:t>
      </w:r>
      <w:r w:rsidR="009172FA">
        <w:rPr>
          <w:rFonts w:ascii="Arial" w:eastAsia="Times New Roman" w:hAnsi="Arial" w:cs="Arial"/>
          <w:color w:val="003A5D"/>
          <w:sz w:val="20"/>
          <w:szCs w:val="20"/>
        </w:rPr>
        <w:t>E</w:t>
      </w:r>
      <w:r w:rsidRPr="0096730F">
        <w:rPr>
          <w:rFonts w:ascii="Arial" w:eastAsia="Times New Roman" w:hAnsi="Arial" w:cs="Arial"/>
          <w:color w:val="003A5D"/>
          <w:sz w:val="20"/>
          <w:szCs w:val="20"/>
        </w:rPr>
        <w:t>.</w:t>
      </w:r>
    </w:p>
    <w:p w14:paraId="4AB893CD" w14:textId="77777777" w:rsidR="00CE1C4F" w:rsidRDefault="00CE1C4F" w:rsidP="00B968DB">
      <w:pPr>
        <w:spacing w:after="0" w:line="240" w:lineRule="auto"/>
        <w:rPr>
          <w:rFonts w:ascii="Arial" w:eastAsia="Times New Roman" w:hAnsi="Arial" w:cs="Arial"/>
          <w:b/>
          <w:bCs/>
          <w:color w:val="000000"/>
          <w:sz w:val="18"/>
          <w:szCs w:val="18"/>
        </w:rPr>
      </w:pPr>
    </w:p>
    <w:p w14:paraId="6C4882E9" w14:textId="77777777" w:rsidR="00290C9D" w:rsidRDefault="00290C9D" w:rsidP="00B968DB">
      <w:pPr>
        <w:pBdr>
          <w:bottom w:val="single" w:sz="12" w:space="0" w:color="003A5D"/>
        </w:pBdr>
        <w:spacing w:before="150" w:after="150" w:line="240" w:lineRule="auto"/>
        <w:outlineLvl w:val="0"/>
        <w:rPr>
          <w:rFonts w:ascii="Arial" w:eastAsia="Times New Roman" w:hAnsi="Arial" w:cs="Arial"/>
          <w:color w:val="000000"/>
          <w:sz w:val="18"/>
          <w:szCs w:val="18"/>
        </w:rPr>
        <w:sectPr w:rsidR="00290C9D" w:rsidSect="00A97A55">
          <w:pgSz w:w="15840" w:h="12240" w:orient="landscape"/>
          <w:pgMar w:top="1440" w:right="1440" w:bottom="1440" w:left="1440" w:header="720" w:footer="720" w:gutter="0"/>
          <w:cols w:space="720"/>
          <w:docGrid w:linePitch="360"/>
        </w:sectPr>
      </w:pPr>
    </w:p>
    <w:p w14:paraId="0B0903E9" w14:textId="77777777" w:rsidR="00B968DB" w:rsidRPr="00B968DB" w:rsidRDefault="00B968DB" w:rsidP="00B968DB">
      <w:pPr>
        <w:pBdr>
          <w:bottom w:val="single" w:sz="12" w:space="0" w:color="003A5D"/>
        </w:pBdr>
        <w:spacing w:before="150" w:after="150" w:line="240" w:lineRule="auto"/>
        <w:outlineLvl w:val="0"/>
        <w:rPr>
          <w:rFonts w:ascii="Trebuchet MS" w:eastAsia="Times New Roman" w:hAnsi="Trebuchet MS" w:cs="Times New Roman"/>
          <w:b/>
          <w:bCs/>
          <w:caps/>
          <w:color w:val="003A5D"/>
          <w:kern w:val="36"/>
          <w:sz w:val="28"/>
          <w:szCs w:val="28"/>
        </w:rPr>
      </w:pPr>
      <w:bookmarkStart w:id="64" w:name="_Toc462918331"/>
      <w:r w:rsidRPr="00B968DB">
        <w:rPr>
          <w:rFonts w:ascii="Trebuchet MS" w:eastAsia="Times New Roman" w:hAnsi="Trebuchet MS" w:cs="Times New Roman"/>
          <w:b/>
          <w:bCs/>
          <w:caps/>
          <w:color w:val="003A5D"/>
          <w:kern w:val="36"/>
          <w:sz w:val="28"/>
          <w:szCs w:val="28"/>
        </w:rPr>
        <w:lastRenderedPageBreak/>
        <w:t>4.0 CURRENT CONTEXT IN THE LIO AREA</w:t>
      </w:r>
      <w:bookmarkEnd w:id="64"/>
    </w:p>
    <w:p w14:paraId="73E7C59A" w14:textId="77777777" w:rsidR="00B968DB" w:rsidRPr="00B968DB" w:rsidRDefault="00B968DB" w:rsidP="00B968DB">
      <w:pPr>
        <w:spacing w:before="300" w:after="150" w:line="240" w:lineRule="auto"/>
        <w:outlineLvl w:val="1"/>
        <w:rPr>
          <w:rFonts w:ascii="Trebuchet MS" w:eastAsia="Times New Roman" w:hAnsi="Trebuchet MS" w:cs="Times New Roman"/>
          <w:b/>
          <w:bCs/>
          <w:caps/>
          <w:color w:val="003A5D"/>
          <w:sz w:val="24"/>
          <w:szCs w:val="24"/>
        </w:rPr>
      </w:pPr>
      <w:bookmarkStart w:id="65" w:name="_Toc462918332"/>
      <w:r w:rsidRPr="00B968DB">
        <w:rPr>
          <w:rFonts w:ascii="Trebuchet MS" w:eastAsia="Times New Roman" w:hAnsi="Trebuchet MS" w:cs="Times New Roman"/>
          <w:b/>
          <w:bCs/>
          <w:caps/>
          <w:color w:val="003A5D"/>
          <w:sz w:val="24"/>
          <w:szCs w:val="24"/>
        </w:rPr>
        <w:t>ECOSYSTEM RECOVERY CONTEXT AND CONCEPTUAL MODELS IN THE LIO AREA</w:t>
      </w:r>
      <w:bookmarkEnd w:id="65"/>
    </w:p>
    <w:p w14:paraId="1D949B7C" w14:textId="77777777" w:rsidR="00B968DB" w:rsidRPr="00B968DB" w:rsidRDefault="00B968DB" w:rsidP="00B968DB">
      <w:pPr>
        <w:spacing w:after="150" w:line="240" w:lineRule="auto"/>
        <w:rPr>
          <w:rFonts w:ascii="Arial" w:eastAsia="Times New Roman" w:hAnsi="Arial" w:cs="Arial"/>
          <w:color w:val="003A5D"/>
          <w:sz w:val="20"/>
          <w:szCs w:val="20"/>
        </w:rPr>
      </w:pPr>
      <w:r w:rsidRPr="00B968DB">
        <w:rPr>
          <w:rFonts w:ascii="Arial" w:eastAsia="Times New Roman" w:hAnsi="Arial" w:cs="Arial"/>
          <w:color w:val="003A5D"/>
          <w:sz w:val="20"/>
          <w:szCs w:val="20"/>
        </w:rPr>
        <w:t>Understanding the current context within which the LIO operates will contribute to development of a more successful recovery plan. (Note that the term “situation analysis” is often used to refer to a conceptual model and related description of the recovery context, but for simplicity this section will only refer to Conceptual Models.) Conceptual Models help build a common understanding of the context within which the LIO is operating including the ecological, social, economic, cultural, political and institutional systems that affect the things the LIO cares about. </w:t>
      </w:r>
      <w:r w:rsidRPr="00B968DB">
        <w:rPr>
          <w:rFonts w:ascii="Arial" w:eastAsia="Times New Roman" w:hAnsi="Arial" w:cs="Arial"/>
          <w:color w:val="003A5D"/>
          <w:sz w:val="20"/>
          <w:szCs w:val="20"/>
        </w:rPr>
        <w:br/>
      </w:r>
      <w:r w:rsidRPr="00B968DB">
        <w:rPr>
          <w:rFonts w:ascii="Arial" w:eastAsia="Times New Roman" w:hAnsi="Arial" w:cs="Arial"/>
          <w:color w:val="003A5D"/>
          <w:sz w:val="20"/>
          <w:szCs w:val="20"/>
        </w:rPr>
        <w:br/>
        <w:t>For definitions of common terms used in this section, see the glossary (Appendix A). For a complete set of conceptual models and associated descriptions of the current context in the LIO, see Appendix C.</w:t>
      </w:r>
    </w:p>
    <w:p w14:paraId="691DA54F" w14:textId="34F7DBD6" w:rsidR="00B968DB" w:rsidRPr="005F2213" w:rsidRDefault="006501FF" w:rsidP="00B968DB">
      <w:pPr>
        <w:spacing w:after="150" w:line="240" w:lineRule="auto"/>
        <w:rPr>
          <w:rFonts w:ascii="Arial" w:eastAsia="Times New Roman" w:hAnsi="Arial" w:cs="Arial"/>
          <w:color w:val="003A5D"/>
          <w:sz w:val="20"/>
          <w:szCs w:val="20"/>
        </w:rPr>
      </w:pPr>
      <w:r w:rsidRPr="005F2213">
        <w:rPr>
          <w:rFonts w:ascii="Arial" w:eastAsia="Times New Roman" w:hAnsi="Arial" w:cs="Arial"/>
          <w:color w:val="003A5D"/>
          <w:sz w:val="20"/>
          <w:szCs w:val="20"/>
        </w:rPr>
        <w:t>AHSS developed conceptual models based on the key pressures listed above (Freshwater Levees; Housing and Urban Areas; Marine Levees, Floodgates and Tidegates; Marine Shoreline Infrastructure; On-Site Septic Systems; and Runoff from Residential and Commercial Lands.</w:t>
      </w:r>
    </w:p>
    <w:p w14:paraId="4913B641" w14:textId="75E7D528" w:rsidR="00B968DB" w:rsidRPr="00B968DB" w:rsidRDefault="00B968DB" w:rsidP="005F2213">
      <w:pPr>
        <w:spacing w:after="0" w:line="240" w:lineRule="auto"/>
        <w:rPr>
          <w:rFonts w:ascii="Trebuchet MS" w:eastAsia="Times New Roman" w:hAnsi="Trebuchet MS" w:cs="Times New Roman"/>
          <w:b/>
          <w:bCs/>
          <w:caps/>
          <w:color w:val="003A5D"/>
          <w:kern w:val="36"/>
          <w:sz w:val="28"/>
          <w:szCs w:val="28"/>
        </w:rPr>
      </w:pPr>
      <w:r w:rsidRPr="00B968DB">
        <w:rPr>
          <w:rFonts w:ascii="Arial" w:eastAsia="Times New Roman" w:hAnsi="Arial" w:cs="Arial"/>
          <w:color w:val="000000"/>
          <w:sz w:val="27"/>
          <w:szCs w:val="27"/>
        </w:rPr>
        <w:br/>
      </w:r>
      <w:bookmarkStart w:id="66" w:name="_Toc462918339"/>
      <w:r w:rsidRPr="00B968DB">
        <w:rPr>
          <w:rFonts w:ascii="Trebuchet MS" w:eastAsia="Times New Roman" w:hAnsi="Trebuchet MS" w:cs="Times New Roman"/>
          <w:b/>
          <w:bCs/>
          <w:caps/>
          <w:color w:val="003A5D"/>
          <w:kern w:val="36"/>
          <w:sz w:val="28"/>
          <w:szCs w:val="28"/>
        </w:rPr>
        <w:t>5.0 OUR STRATEGIES AND ACTIONS</w:t>
      </w:r>
      <w:bookmarkEnd w:id="66"/>
    </w:p>
    <w:p w14:paraId="1443BF6C" w14:textId="65653C5A" w:rsidR="00B968DB" w:rsidRPr="00B968DB" w:rsidRDefault="00B968DB" w:rsidP="00B968DB">
      <w:pPr>
        <w:spacing w:after="150" w:line="240" w:lineRule="auto"/>
        <w:rPr>
          <w:rFonts w:ascii="Arial" w:eastAsia="Times New Roman" w:hAnsi="Arial" w:cs="Arial"/>
          <w:color w:val="003A5D"/>
          <w:sz w:val="20"/>
          <w:szCs w:val="20"/>
        </w:rPr>
      </w:pPr>
      <w:r w:rsidRPr="00B968DB">
        <w:rPr>
          <w:rFonts w:ascii="Arial" w:eastAsia="Times New Roman" w:hAnsi="Arial" w:cs="Arial"/>
          <w:color w:val="003A5D"/>
          <w:sz w:val="20"/>
          <w:szCs w:val="20"/>
        </w:rPr>
        <w:t xml:space="preserve">After </w:t>
      </w:r>
      <w:r w:rsidR="006501FF">
        <w:rPr>
          <w:rFonts w:ascii="Arial" w:eastAsia="Times New Roman" w:hAnsi="Arial" w:cs="Arial"/>
          <w:color w:val="003A5D"/>
          <w:sz w:val="20"/>
          <w:szCs w:val="20"/>
        </w:rPr>
        <w:t>AHSS</w:t>
      </w:r>
      <w:r w:rsidRPr="00B968DB">
        <w:rPr>
          <w:rFonts w:ascii="Arial" w:eastAsia="Times New Roman" w:hAnsi="Arial" w:cs="Arial"/>
          <w:color w:val="003A5D"/>
          <w:sz w:val="20"/>
          <w:szCs w:val="20"/>
        </w:rPr>
        <w:t xml:space="preserve"> described the situation in which we are operating and what we want to achieve, we next considered the types of actions that need to occur. Good strategic planning involves determining where and how our LIO will take action—as well as where our LIO will not take action. </w:t>
      </w:r>
      <w:r w:rsidRPr="00B968DB">
        <w:rPr>
          <w:rFonts w:ascii="Arial" w:eastAsia="Times New Roman" w:hAnsi="Arial" w:cs="Arial"/>
          <w:color w:val="003A5D"/>
          <w:sz w:val="20"/>
          <w:szCs w:val="20"/>
        </w:rPr>
        <w:br/>
      </w:r>
      <w:r w:rsidRPr="00B968DB">
        <w:rPr>
          <w:rFonts w:ascii="Arial" w:eastAsia="Times New Roman" w:hAnsi="Arial" w:cs="Arial"/>
          <w:color w:val="003A5D"/>
          <w:sz w:val="20"/>
          <w:szCs w:val="20"/>
        </w:rPr>
        <w:br/>
        <w:t>To document and test assumptions about how specific strategies and actions are intended to effect change in the ecosystem, our LIO developed theories of change associated with specific strategies or suites of strategies in the form of results chains. Results chains help to build shared understanding of the context within which local recovery occurs. They help our LIO explain the logic behind recovery strategies to determine if recovery efforts are likely to achieve near-term objectives and longer-term goals. Results chains also provide a structure for assessing the effectiveness of specific actions and for redirecting efforts if a specific action is determined to be ineffective. In addition, our LIO can use the results chains to identify how future development of local Near Term Actions for the Puget Sound Action Agenda align with regional priorities. </w:t>
      </w:r>
      <w:r w:rsidRPr="00B968DB">
        <w:rPr>
          <w:rFonts w:ascii="Arial" w:eastAsia="Times New Roman" w:hAnsi="Arial" w:cs="Arial"/>
          <w:color w:val="003A5D"/>
          <w:sz w:val="20"/>
          <w:szCs w:val="20"/>
        </w:rPr>
        <w:br/>
      </w:r>
      <w:r w:rsidRPr="00B968DB">
        <w:rPr>
          <w:rFonts w:ascii="Arial" w:eastAsia="Times New Roman" w:hAnsi="Arial" w:cs="Arial"/>
          <w:color w:val="003A5D"/>
          <w:sz w:val="20"/>
          <w:szCs w:val="20"/>
        </w:rPr>
        <w:br/>
        <w:t>Strategies and descriptions of associated theories of change are summarized below. Results chains and definitions of common terms used in this section are available in Appendix D.</w:t>
      </w:r>
    </w:p>
    <w:p w14:paraId="2C15AC69" w14:textId="77777777" w:rsidR="00B968DB" w:rsidRPr="00B968DB" w:rsidRDefault="00B968DB" w:rsidP="004F3ECB">
      <w:pPr>
        <w:spacing w:after="0" w:line="240" w:lineRule="auto"/>
        <w:rPr>
          <w:rFonts w:ascii="Trebuchet MS" w:eastAsia="Times New Roman" w:hAnsi="Trebuchet MS" w:cs="Times New Roman"/>
          <w:b/>
          <w:bCs/>
          <w:caps/>
          <w:color w:val="003A5D"/>
          <w:sz w:val="24"/>
          <w:szCs w:val="24"/>
        </w:rPr>
      </w:pPr>
      <w:bookmarkStart w:id="67" w:name="_Toc462918340"/>
      <w:r w:rsidRPr="00B968DB">
        <w:rPr>
          <w:rFonts w:ascii="Trebuchet MS" w:eastAsia="Times New Roman" w:hAnsi="Trebuchet MS" w:cs="Times New Roman"/>
          <w:b/>
          <w:bCs/>
          <w:caps/>
          <w:color w:val="003A5D"/>
          <w:sz w:val="24"/>
          <w:szCs w:val="24"/>
        </w:rPr>
        <w:t>SUMMARY OF LIO STRATEGIES</w:t>
      </w:r>
      <w:bookmarkEnd w:id="67"/>
    </w:p>
    <w:p w14:paraId="568411D5" w14:textId="77777777" w:rsidR="00B968DB" w:rsidRPr="00B968DB" w:rsidRDefault="00B968DB" w:rsidP="00B968DB">
      <w:pPr>
        <w:spacing w:after="150" w:line="240" w:lineRule="auto"/>
        <w:rPr>
          <w:rFonts w:ascii="Arial" w:eastAsia="Times New Roman" w:hAnsi="Arial" w:cs="Arial"/>
          <w:color w:val="003A5D"/>
          <w:sz w:val="20"/>
          <w:szCs w:val="20"/>
        </w:rPr>
      </w:pPr>
      <w:r w:rsidRPr="00B968DB">
        <w:rPr>
          <w:rFonts w:ascii="Arial" w:eastAsia="Times New Roman" w:hAnsi="Arial" w:cs="Arial"/>
          <w:color w:val="003A5D"/>
          <w:sz w:val="20"/>
          <w:szCs w:val="20"/>
        </w:rPr>
        <w:t>Table 6 lists the recovery strategies currently identified in the LIO area. *ID indicates the source of the strategy: Action Agenda substrategy (##.#), Chinook strategy or new, LIO proposed strategy.</w:t>
      </w:r>
    </w:p>
    <w:p w14:paraId="23AD027B" w14:textId="77777777" w:rsidR="00B968DB" w:rsidRPr="00B968DB" w:rsidRDefault="00B968DB" w:rsidP="00B968DB">
      <w:pPr>
        <w:spacing w:after="0" w:line="240" w:lineRule="auto"/>
        <w:rPr>
          <w:rFonts w:ascii="Arial" w:eastAsia="Times New Roman" w:hAnsi="Arial" w:cs="Arial"/>
          <w:color w:val="000000"/>
          <w:sz w:val="18"/>
          <w:szCs w:val="18"/>
        </w:rPr>
      </w:pPr>
      <w:r w:rsidRPr="00B968DB">
        <w:rPr>
          <w:rFonts w:ascii="Arial" w:eastAsia="Times New Roman" w:hAnsi="Arial" w:cs="Arial"/>
          <w:b/>
          <w:bCs/>
          <w:color w:val="000000"/>
          <w:sz w:val="18"/>
          <w:szCs w:val="18"/>
        </w:rPr>
        <w:t>Table 6. Strategies included in the LIO Recovery Plan.</w:t>
      </w:r>
    </w:p>
    <w:p w14:paraId="3F44E3F4" w14:textId="1CBECD93" w:rsidR="00B968DB" w:rsidRPr="00B968DB" w:rsidRDefault="00B968DB" w:rsidP="00B968DB">
      <w:pPr>
        <w:spacing w:after="150" w:line="240" w:lineRule="auto"/>
        <w:rPr>
          <w:rFonts w:ascii="Arial" w:eastAsia="Times New Roman" w:hAnsi="Arial" w:cs="Arial"/>
          <w:color w:val="C80000"/>
          <w:sz w:val="20"/>
          <w:szCs w:val="20"/>
        </w:rPr>
      </w:pPr>
    </w:p>
    <w:tbl>
      <w:tblPr>
        <w:tblW w:w="0" w:type="auto"/>
        <w:tblBorders>
          <w:top w:val="outset" w:sz="6" w:space="0" w:color="auto"/>
          <w:left w:val="outset" w:sz="6" w:space="0" w:color="auto"/>
          <w:bottom w:val="outset" w:sz="6" w:space="0" w:color="auto"/>
          <w:right w:val="outset" w:sz="6" w:space="0" w:color="auto"/>
        </w:tblBorders>
        <w:tblCellMar>
          <w:top w:w="75" w:type="dxa"/>
          <w:left w:w="75" w:type="dxa"/>
          <w:bottom w:w="75" w:type="dxa"/>
          <w:right w:w="75" w:type="dxa"/>
        </w:tblCellMar>
        <w:tblLook w:val="04A0" w:firstRow="1" w:lastRow="0" w:firstColumn="1" w:lastColumn="0" w:noHBand="0" w:noVBand="1"/>
      </w:tblPr>
      <w:tblGrid>
        <w:gridCol w:w="805"/>
        <w:gridCol w:w="5727"/>
        <w:gridCol w:w="5229"/>
        <w:gridCol w:w="1183"/>
      </w:tblGrid>
      <w:tr w:rsidR="00B968DB" w:rsidRPr="00B968DB" w14:paraId="7833113A"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vAlign w:val="center"/>
            <w:hideMark/>
          </w:tcPr>
          <w:p w14:paraId="50E9D51E"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vAlign w:val="center"/>
            <w:hideMark/>
          </w:tcPr>
          <w:p w14:paraId="35A1B2B2"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RECOVERY STRATEGY</w:t>
            </w:r>
          </w:p>
        </w:tc>
        <w:tc>
          <w:tcPr>
            <w:tcW w:w="0" w:type="auto"/>
            <w:tcBorders>
              <w:top w:val="single" w:sz="6" w:space="0" w:color="000000"/>
              <w:left w:val="single" w:sz="6" w:space="0" w:color="000000"/>
              <w:bottom w:val="single" w:sz="18" w:space="0" w:color="000000"/>
              <w:right w:val="single" w:sz="6" w:space="0" w:color="000000"/>
            </w:tcBorders>
            <w:shd w:val="clear" w:color="auto" w:fill="003A5D"/>
            <w:vAlign w:val="center"/>
            <w:hideMark/>
          </w:tcPr>
          <w:p w14:paraId="1751257E"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vAlign w:val="center"/>
            <w:hideMark/>
          </w:tcPr>
          <w:p w14:paraId="1F18098C"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COMMENTS</w:t>
            </w:r>
          </w:p>
        </w:tc>
      </w:tr>
      <w:tr w:rsidR="00B968DB" w:rsidRPr="00B968DB" w14:paraId="245CFB7F"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5A28E850" w14:textId="66F3A148" w:rsidR="00B968DB" w:rsidRPr="006501FF" w:rsidRDefault="006501FF" w:rsidP="00B968DB">
            <w:pPr>
              <w:spacing w:after="0" w:line="240" w:lineRule="auto"/>
              <w:rPr>
                <w:rFonts w:ascii="Arial" w:eastAsia="Times New Roman" w:hAnsi="Arial" w:cs="Arial"/>
                <w:b/>
                <w:bCs/>
                <w:caps/>
                <w:color w:val="FFFFFF"/>
                <w:sz w:val="18"/>
                <w:szCs w:val="18"/>
              </w:rPr>
            </w:pPr>
            <w:r w:rsidRPr="006501FF">
              <w:rPr>
                <w:rFonts w:ascii="Arial" w:eastAsia="Times New Roman" w:hAnsi="Arial" w:cs="Arial"/>
                <w:b/>
                <w:bCs/>
                <w:caps/>
                <w:color w:val="FFFFFF"/>
                <w:sz w:val="18"/>
                <w:szCs w:val="18"/>
              </w:rPr>
              <w:t>10.0</w:t>
            </w:r>
          </w:p>
        </w:tc>
        <w:tc>
          <w:tcPr>
            <w:tcW w:w="0" w:type="auto"/>
            <w:tcBorders>
              <w:top w:val="single" w:sz="6" w:space="0" w:color="auto"/>
              <w:left w:val="single" w:sz="6" w:space="0" w:color="auto"/>
              <w:bottom w:val="single" w:sz="6" w:space="0" w:color="auto"/>
              <w:right w:val="single" w:sz="6" w:space="0" w:color="auto"/>
            </w:tcBorders>
            <w:hideMark/>
          </w:tcPr>
          <w:p w14:paraId="6E6523D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Collect and treat urban stormwater to reduce pollutant loading</w:t>
            </w:r>
          </w:p>
        </w:tc>
        <w:tc>
          <w:tcPr>
            <w:tcW w:w="0" w:type="auto"/>
            <w:tcBorders>
              <w:top w:val="single" w:sz="6" w:space="0" w:color="auto"/>
              <w:left w:val="single" w:sz="6" w:space="0" w:color="auto"/>
              <w:bottom w:val="single" w:sz="6" w:space="0" w:color="auto"/>
              <w:right w:val="single" w:sz="6" w:space="0" w:color="auto"/>
            </w:tcBorders>
            <w:hideMark/>
          </w:tcPr>
          <w:p w14:paraId="391D0D0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Consistent with 2016 Action Agenda strategy 10</w:t>
            </w:r>
          </w:p>
        </w:tc>
        <w:tc>
          <w:tcPr>
            <w:tcW w:w="0" w:type="auto"/>
            <w:tcBorders>
              <w:top w:val="single" w:sz="6" w:space="0" w:color="auto"/>
              <w:left w:val="single" w:sz="6" w:space="0" w:color="auto"/>
              <w:bottom w:val="single" w:sz="6" w:space="0" w:color="auto"/>
              <w:right w:val="single" w:sz="6" w:space="0" w:color="auto"/>
            </w:tcBorders>
            <w:hideMark/>
          </w:tcPr>
          <w:p w14:paraId="2A8AA808" w14:textId="77777777" w:rsidR="00B968DB" w:rsidRPr="00B968DB" w:rsidRDefault="00B968DB" w:rsidP="00B968DB">
            <w:pPr>
              <w:spacing w:after="0" w:line="240" w:lineRule="auto"/>
              <w:rPr>
                <w:rFonts w:ascii="Arial" w:eastAsia="Times New Roman" w:hAnsi="Arial" w:cs="Arial"/>
                <w:sz w:val="18"/>
                <w:szCs w:val="18"/>
              </w:rPr>
            </w:pPr>
          </w:p>
        </w:tc>
      </w:tr>
      <w:tr w:rsidR="00B968DB" w:rsidRPr="00B968DB" w14:paraId="2CF85A82"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1E2900A5" w14:textId="29713FB7" w:rsidR="00B968DB" w:rsidRPr="006501FF" w:rsidRDefault="006501FF" w:rsidP="00B968DB">
            <w:pPr>
              <w:spacing w:after="0" w:line="240" w:lineRule="auto"/>
              <w:rPr>
                <w:rFonts w:ascii="Arial" w:eastAsia="Times New Roman" w:hAnsi="Arial" w:cs="Arial"/>
                <w:b/>
                <w:sz w:val="18"/>
                <w:szCs w:val="18"/>
              </w:rPr>
            </w:pPr>
            <w:r w:rsidRPr="006501FF">
              <w:rPr>
                <w:rFonts w:ascii="Arial" w:eastAsia="Times New Roman" w:hAnsi="Arial" w:cs="Arial"/>
                <w:b/>
                <w:sz w:val="18"/>
                <w:szCs w:val="18"/>
              </w:rPr>
              <w:lastRenderedPageBreak/>
              <w:t>4.0</w:t>
            </w:r>
          </w:p>
        </w:tc>
        <w:tc>
          <w:tcPr>
            <w:tcW w:w="0" w:type="auto"/>
            <w:tcBorders>
              <w:top w:val="single" w:sz="6" w:space="0" w:color="auto"/>
              <w:left w:val="single" w:sz="6" w:space="0" w:color="auto"/>
              <w:bottom w:val="single" w:sz="6" w:space="0" w:color="auto"/>
              <w:right w:val="single" w:sz="6" w:space="0" w:color="auto"/>
            </w:tcBorders>
            <w:hideMark/>
          </w:tcPr>
          <w:p w14:paraId="260A74B0"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Concentrate growth in urban growth areas to limit the amount of new impervious surfaces created</w:t>
            </w:r>
          </w:p>
        </w:tc>
        <w:tc>
          <w:tcPr>
            <w:tcW w:w="0" w:type="auto"/>
            <w:tcBorders>
              <w:top w:val="single" w:sz="6" w:space="0" w:color="auto"/>
              <w:left w:val="single" w:sz="6" w:space="0" w:color="auto"/>
              <w:bottom w:val="single" w:sz="6" w:space="0" w:color="auto"/>
              <w:right w:val="single" w:sz="6" w:space="0" w:color="auto"/>
            </w:tcBorders>
            <w:hideMark/>
          </w:tcPr>
          <w:p w14:paraId="7A2B46F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Similar to 2016 Action Agenda strategy 4</w:t>
            </w:r>
          </w:p>
        </w:tc>
        <w:tc>
          <w:tcPr>
            <w:tcW w:w="0" w:type="auto"/>
            <w:tcBorders>
              <w:top w:val="single" w:sz="6" w:space="0" w:color="auto"/>
              <w:left w:val="single" w:sz="6" w:space="0" w:color="auto"/>
              <w:bottom w:val="single" w:sz="6" w:space="0" w:color="auto"/>
              <w:right w:val="single" w:sz="6" w:space="0" w:color="auto"/>
            </w:tcBorders>
            <w:hideMark/>
          </w:tcPr>
          <w:p w14:paraId="694F9447" w14:textId="77777777" w:rsidR="00B968DB" w:rsidRPr="00B968DB" w:rsidRDefault="00B968DB" w:rsidP="00B968DB">
            <w:pPr>
              <w:spacing w:after="0" w:line="240" w:lineRule="auto"/>
              <w:rPr>
                <w:rFonts w:ascii="Arial" w:eastAsia="Times New Roman" w:hAnsi="Arial" w:cs="Arial"/>
                <w:sz w:val="18"/>
                <w:szCs w:val="18"/>
              </w:rPr>
            </w:pPr>
          </w:p>
        </w:tc>
      </w:tr>
      <w:tr w:rsidR="00B968DB" w:rsidRPr="00B968DB" w14:paraId="721E74EB"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4EB50A96" w14:textId="05F1986D" w:rsidR="00B968DB" w:rsidRPr="006501FF" w:rsidRDefault="006501FF" w:rsidP="00B968DB">
            <w:pPr>
              <w:spacing w:after="0" w:line="240" w:lineRule="auto"/>
              <w:rPr>
                <w:rFonts w:ascii="Arial" w:eastAsia="Times New Roman" w:hAnsi="Arial" w:cs="Arial"/>
                <w:b/>
                <w:sz w:val="18"/>
                <w:szCs w:val="18"/>
              </w:rPr>
            </w:pPr>
            <w:r w:rsidRPr="006501FF">
              <w:rPr>
                <w:rFonts w:ascii="Arial" w:eastAsia="Times New Roman" w:hAnsi="Arial" w:cs="Arial"/>
                <w:b/>
                <w:sz w:val="18"/>
                <w:szCs w:val="18"/>
              </w:rPr>
              <w:t>10.0</w:t>
            </w:r>
          </w:p>
        </w:tc>
        <w:tc>
          <w:tcPr>
            <w:tcW w:w="0" w:type="auto"/>
            <w:tcBorders>
              <w:top w:val="single" w:sz="6" w:space="0" w:color="auto"/>
              <w:left w:val="single" w:sz="6" w:space="0" w:color="auto"/>
              <w:bottom w:val="single" w:sz="6" w:space="0" w:color="auto"/>
              <w:right w:val="single" w:sz="6" w:space="0" w:color="auto"/>
            </w:tcBorders>
            <w:hideMark/>
          </w:tcPr>
          <w:p w14:paraId="126402C6"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Providing support to land owners to limit pollutant loads to surface water through best management practices</w:t>
            </w:r>
          </w:p>
        </w:tc>
        <w:tc>
          <w:tcPr>
            <w:tcW w:w="0" w:type="auto"/>
            <w:tcBorders>
              <w:top w:val="single" w:sz="6" w:space="0" w:color="auto"/>
              <w:left w:val="single" w:sz="6" w:space="0" w:color="auto"/>
              <w:bottom w:val="single" w:sz="6" w:space="0" w:color="auto"/>
              <w:right w:val="single" w:sz="6" w:space="0" w:color="auto"/>
            </w:tcBorders>
            <w:hideMark/>
          </w:tcPr>
          <w:p w14:paraId="21CB1716"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Recommended new substrategy under 2016 Action Agenda strategy 10</w:t>
            </w:r>
          </w:p>
        </w:tc>
        <w:tc>
          <w:tcPr>
            <w:tcW w:w="0" w:type="auto"/>
            <w:tcBorders>
              <w:top w:val="single" w:sz="6" w:space="0" w:color="auto"/>
              <w:left w:val="single" w:sz="6" w:space="0" w:color="auto"/>
              <w:bottom w:val="single" w:sz="6" w:space="0" w:color="auto"/>
              <w:right w:val="single" w:sz="6" w:space="0" w:color="auto"/>
            </w:tcBorders>
            <w:hideMark/>
          </w:tcPr>
          <w:p w14:paraId="07416077" w14:textId="77777777" w:rsidR="00B968DB" w:rsidRPr="00B968DB" w:rsidRDefault="00B968DB" w:rsidP="00B968DB">
            <w:pPr>
              <w:spacing w:after="0" w:line="240" w:lineRule="auto"/>
              <w:rPr>
                <w:rFonts w:ascii="Arial" w:eastAsia="Times New Roman" w:hAnsi="Arial" w:cs="Arial"/>
                <w:sz w:val="18"/>
                <w:szCs w:val="18"/>
              </w:rPr>
            </w:pPr>
          </w:p>
        </w:tc>
      </w:tr>
      <w:tr w:rsidR="00B968DB" w:rsidRPr="00B968DB" w14:paraId="14D6BA87"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15784459" w14:textId="6ABD8DB1" w:rsidR="00B968DB" w:rsidRPr="006501FF" w:rsidRDefault="006501FF" w:rsidP="00B968DB">
            <w:pPr>
              <w:spacing w:after="0" w:line="240" w:lineRule="auto"/>
              <w:rPr>
                <w:rFonts w:ascii="Arial" w:eastAsia="Times New Roman" w:hAnsi="Arial" w:cs="Arial"/>
                <w:b/>
                <w:sz w:val="18"/>
                <w:szCs w:val="18"/>
              </w:rPr>
            </w:pPr>
            <w:r w:rsidRPr="006501FF">
              <w:rPr>
                <w:rFonts w:ascii="Arial" w:eastAsia="Times New Roman" w:hAnsi="Arial" w:cs="Arial"/>
                <w:b/>
                <w:sz w:val="18"/>
                <w:szCs w:val="18"/>
              </w:rPr>
              <w:t>9.6</w:t>
            </w:r>
          </w:p>
        </w:tc>
        <w:tc>
          <w:tcPr>
            <w:tcW w:w="0" w:type="auto"/>
            <w:tcBorders>
              <w:top w:val="single" w:sz="6" w:space="0" w:color="auto"/>
              <w:left w:val="single" w:sz="6" w:space="0" w:color="auto"/>
              <w:bottom w:val="single" w:sz="6" w:space="0" w:color="auto"/>
              <w:right w:val="single" w:sz="6" w:space="0" w:color="auto"/>
            </w:tcBorders>
            <w:hideMark/>
          </w:tcPr>
          <w:p w14:paraId="41E2D03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Enhance Local Compliance and Enforcement Programs</w:t>
            </w:r>
          </w:p>
        </w:tc>
        <w:tc>
          <w:tcPr>
            <w:tcW w:w="0" w:type="auto"/>
            <w:tcBorders>
              <w:top w:val="single" w:sz="6" w:space="0" w:color="auto"/>
              <w:left w:val="single" w:sz="6" w:space="0" w:color="auto"/>
              <w:bottom w:val="single" w:sz="6" w:space="0" w:color="auto"/>
              <w:right w:val="single" w:sz="6" w:space="0" w:color="auto"/>
            </w:tcBorders>
            <w:hideMark/>
          </w:tcPr>
          <w:p w14:paraId="355BA00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Consistent with 2016 Action Agenda substrategy 9.6</w:t>
            </w:r>
          </w:p>
        </w:tc>
        <w:tc>
          <w:tcPr>
            <w:tcW w:w="0" w:type="auto"/>
            <w:tcBorders>
              <w:top w:val="single" w:sz="6" w:space="0" w:color="auto"/>
              <w:left w:val="single" w:sz="6" w:space="0" w:color="auto"/>
              <w:bottom w:val="single" w:sz="6" w:space="0" w:color="auto"/>
              <w:right w:val="single" w:sz="6" w:space="0" w:color="auto"/>
            </w:tcBorders>
            <w:hideMark/>
          </w:tcPr>
          <w:p w14:paraId="17182882" w14:textId="77777777" w:rsidR="00B968DB" w:rsidRPr="00B968DB" w:rsidRDefault="00B968DB" w:rsidP="00B968DB">
            <w:pPr>
              <w:spacing w:after="0" w:line="240" w:lineRule="auto"/>
              <w:rPr>
                <w:rFonts w:ascii="Arial" w:eastAsia="Times New Roman" w:hAnsi="Arial" w:cs="Arial"/>
                <w:sz w:val="18"/>
                <w:szCs w:val="18"/>
              </w:rPr>
            </w:pPr>
          </w:p>
        </w:tc>
      </w:tr>
      <w:tr w:rsidR="00B968DB" w:rsidRPr="00B968DB" w14:paraId="25069DE0"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0CBE8278" w14:textId="327DC297" w:rsidR="00B968DB" w:rsidRPr="006501FF" w:rsidRDefault="006501FF" w:rsidP="00B968DB">
            <w:pPr>
              <w:spacing w:after="0" w:line="240" w:lineRule="auto"/>
              <w:rPr>
                <w:rFonts w:ascii="Arial" w:eastAsia="Times New Roman" w:hAnsi="Arial" w:cs="Arial"/>
                <w:b/>
                <w:sz w:val="18"/>
                <w:szCs w:val="18"/>
              </w:rPr>
            </w:pPr>
            <w:r w:rsidRPr="006501FF">
              <w:rPr>
                <w:rFonts w:ascii="Arial" w:eastAsia="Times New Roman" w:hAnsi="Arial" w:cs="Arial"/>
                <w:b/>
                <w:sz w:val="18"/>
                <w:szCs w:val="18"/>
              </w:rPr>
              <w:t>10.1</w:t>
            </w:r>
          </w:p>
        </w:tc>
        <w:tc>
          <w:tcPr>
            <w:tcW w:w="0" w:type="auto"/>
            <w:tcBorders>
              <w:top w:val="single" w:sz="6" w:space="0" w:color="auto"/>
              <w:left w:val="single" w:sz="6" w:space="0" w:color="auto"/>
              <w:bottom w:val="single" w:sz="6" w:space="0" w:color="auto"/>
              <w:right w:val="single" w:sz="6" w:space="0" w:color="auto"/>
            </w:tcBorders>
            <w:hideMark/>
          </w:tcPr>
          <w:p w14:paraId="039FFCA1"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Implement Local Stormwater Management Programs using a Watershed Management Approach</w:t>
            </w:r>
          </w:p>
        </w:tc>
        <w:tc>
          <w:tcPr>
            <w:tcW w:w="0" w:type="auto"/>
            <w:tcBorders>
              <w:top w:val="single" w:sz="6" w:space="0" w:color="auto"/>
              <w:left w:val="single" w:sz="6" w:space="0" w:color="auto"/>
              <w:bottom w:val="single" w:sz="6" w:space="0" w:color="auto"/>
              <w:right w:val="single" w:sz="6" w:space="0" w:color="auto"/>
            </w:tcBorders>
            <w:hideMark/>
          </w:tcPr>
          <w:p w14:paraId="2BAB677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Similar to 2016 Action Agenda substrategy 10.1</w:t>
            </w:r>
          </w:p>
        </w:tc>
        <w:tc>
          <w:tcPr>
            <w:tcW w:w="0" w:type="auto"/>
            <w:tcBorders>
              <w:top w:val="single" w:sz="6" w:space="0" w:color="auto"/>
              <w:left w:val="single" w:sz="6" w:space="0" w:color="auto"/>
              <w:bottom w:val="single" w:sz="6" w:space="0" w:color="auto"/>
              <w:right w:val="single" w:sz="6" w:space="0" w:color="auto"/>
            </w:tcBorders>
            <w:hideMark/>
          </w:tcPr>
          <w:p w14:paraId="69ACCB78" w14:textId="77777777" w:rsidR="00B968DB" w:rsidRPr="00B968DB" w:rsidRDefault="00B968DB" w:rsidP="00B968DB">
            <w:pPr>
              <w:spacing w:after="0" w:line="240" w:lineRule="auto"/>
              <w:rPr>
                <w:rFonts w:ascii="Arial" w:eastAsia="Times New Roman" w:hAnsi="Arial" w:cs="Arial"/>
                <w:sz w:val="18"/>
                <w:szCs w:val="18"/>
              </w:rPr>
            </w:pPr>
          </w:p>
        </w:tc>
      </w:tr>
      <w:tr w:rsidR="00B968DB" w:rsidRPr="00B968DB" w14:paraId="2E4191B8"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09E367B4" w14:textId="114C4F7E" w:rsidR="00B968DB" w:rsidRPr="006501FF" w:rsidRDefault="006501FF" w:rsidP="00B968DB">
            <w:pPr>
              <w:spacing w:after="0" w:line="240" w:lineRule="auto"/>
              <w:rPr>
                <w:rFonts w:ascii="Arial" w:eastAsia="Times New Roman" w:hAnsi="Arial" w:cs="Arial"/>
                <w:b/>
                <w:sz w:val="18"/>
                <w:szCs w:val="18"/>
              </w:rPr>
            </w:pPr>
            <w:r w:rsidRPr="006501FF">
              <w:rPr>
                <w:rFonts w:ascii="Arial" w:eastAsia="Times New Roman" w:hAnsi="Arial" w:cs="Arial"/>
                <w:b/>
                <w:sz w:val="18"/>
                <w:szCs w:val="18"/>
              </w:rPr>
              <w:t>25.2</w:t>
            </w:r>
          </w:p>
        </w:tc>
        <w:tc>
          <w:tcPr>
            <w:tcW w:w="0" w:type="auto"/>
            <w:tcBorders>
              <w:top w:val="single" w:sz="6" w:space="0" w:color="auto"/>
              <w:left w:val="single" w:sz="6" w:space="0" w:color="auto"/>
              <w:bottom w:val="single" w:sz="6" w:space="0" w:color="auto"/>
              <w:right w:val="single" w:sz="6" w:space="0" w:color="auto"/>
            </w:tcBorders>
            <w:hideMark/>
          </w:tcPr>
          <w:p w14:paraId="740E293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Implement a Coordinated and Integrated Local Monitoring Program</w:t>
            </w:r>
          </w:p>
        </w:tc>
        <w:tc>
          <w:tcPr>
            <w:tcW w:w="0" w:type="auto"/>
            <w:tcBorders>
              <w:top w:val="single" w:sz="6" w:space="0" w:color="auto"/>
              <w:left w:val="single" w:sz="6" w:space="0" w:color="auto"/>
              <w:bottom w:val="single" w:sz="6" w:space="0" w:color="auto"/>
              <w:right w:val="single" w:sz="6" w:space="0" w:color="auto"/>
            </w:tcBorders>
            <w:hideMark/>
          </w:tcPr>
          <w:p w14:paraId="5E515351"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Consistent with 2016 Action Agenda Substrategy 25.2</w:t>
            </w:r>
          </w:p>
        </w:tc>
        <w:tc>
          <w:tcPr>
            <w:tcW w:w="0" w:type="auto"/>
            <w:tcBorders>
              <w:top w:val="single" w:sz="6" w:space="0" w:color="auto"/>
              <w:left w:val="single" w:sz="6" w:space="0" w:color="auto"/>
              <w:bottom w:val="single" w:sz="6" w:space="0" w:color="auto"/>
              <w:right w:val="single" w:sz="6" w:space="0" w:color="auto"/>
            </w:tcBorders>
            <w:hideMark/>
          </w:tcPr>
          <w:p w14:paraId="70F626F6" w14:textId="77777777" w:rsidR="00B968DB" w:rsidRPr="00B968DB" w:rsidRDefault="00B968DB" w:rsidP="00B968DB">
            <w:pPr>
              <w:spacing w:after="0" w:line="240" w:lineRule="auto"/>
              <w:rPr>
                <w:rFonts w:ascii="Arial" w:eastAsia="Times New Roman" w:hAnsi="Arial" w:cs="Arial"/>
                <w:sz w:val="18"/>
                <w:szCs w:val="18"/>
              </w:rPr>
            </w:pPr>
          </w:p>
        </w:tc>
      </w:tr>
      <w:tr w:rsidR="00B968DB" w:rsidRPr="00B968DB" w14:paraId="14D48730"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24801E7B" w14:textId="25A98F8D" w:rsidR="00B968DB" w:rsidRPr="006501FF" w:rsidRDefault="006501FF" w:rsidP="00B968DB">
            <w:pPr>
              <w:spacing w:after="0" w:line="240" w:lineRule="auto"/>
              <w:rPr>
                <w:rFonts w:ascii="Arial" w:eastAsia="Times New Roman" w:hAnsi="Arial" w:cs="Arial"/>
                <w:b/>
                <w:sz w:val="18"/>
                <w:szCs w:val="18"/>
              </w:rPr>
            </w:pPr>
            <w:r w:rsidRPr="006501FF">
              <w:rPr>
                <w:rFonts w:ascii="Arial" w:eastAsia="Times New Roman" w:hAnsi="Arial" w:cs="Arial"/>
                <w:b/>
                <w:sz w:val="18"/>
                <w:szCs w:val="18"/>
              </w:rPr>
              <w:t>2, 3, 5, 16, 17</w:t>
            </w:r>
          </w:p>
        </w:tc>
        <w:tc>
          <w:tcPr>
            <w:tcW w:w="0" w:type="auto"/>
            <w:tcBorders>
              <w:top w:val="single" w:sz="6" w:space="0" w:color="auto"/>
              <w:left w:val="single" w:sz="6" w:space="0" w:color="auto"/>
              <w:bottom w:val="single" w:sz="6" w:space="0" w:color="auto"/>
              <w:right w:val="single" w:sz="6" w:space="0" w:color="auto"/>
            </w:tcBorders>
            <w:hideMark/>
          </w:tcPr>
          <w:p w14:paraId="621E17F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Enhance Ongoing Implementation of Local Shoreline and Land Use Management, Protection, Restoration, Incentive Programs and Plans</w:t>
            </w:r>
          </w:p>
        </w:tc>
        <w:tc>
          <w:tcPr>
            <w:tcW w:w="0" w:type="auto"/>
            <w:tcBorders>
              <w:top w:val="single" w:sz="6" w:space="0" w:color="auto"/>
              <w:left w:val="single" w:sz="6" w:space="0" w:color="auto"/>
              <w:bottom w:val="single" w:sz="6" w:space="0" w:color="auto"/>
              <w:right w:val="single" w:sz="6" w:space="0" w:color="auto"/>
            </w:tcBorders>
            <w:hideMark/>
          </w:tcPr>
          <w:p w14:paraId="378A634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Consistent with 2016 Action Agenda strategies 2, 3, 5, 16, 17</w:t>
            </w:r>
          </w:p>
        </w:tc>
        <w:tc>
          <w:tcPr>
            <w:tcW w:w="0" w:type="auto"/>
            <w:tcBorders>
              <w:top w:val="single" w:sz="6" w:space="0" w:color="auto"/>
              <w:left w:val="single" w:sz="6" w:space="0" w:color="auto"/>
              <w:bottom w:val="single" w:sz="6" w:space="0" w:color="auto"/>
              <w:right w:val="single" w:sz="6" w:space="0" w:color="auto"/>
            </w:tcBorders>
            <w:hideMark/>
          </w:tcPr>
          <w:p w14:paraId="530F80FF" w14:textId="77777777" w:rsidR="00B968DB" w:rsidRPr="00B968DB" w:rsidRDefault="00B968DB" w:rsidP="00B968DB">
            <w:pPr>
              <w:spacing w:after="0" w:line="240" w:lineRule="auto"/>
              <w:rPr>
                <w:rFonts w:ascii="Arial" w:eastAsia="Times New Roman" w:hAnsi="Arial" w:cs="Arial"/>
                <w:sz w:val="18"/>
                <w:szCs w:val="18"/>
              </w:rPr>
            </w:pPr>
          </w:p>
        </w:tc>
      </w:tr>
      <w:tr w:rsidR="00B968DB" w:rsidRPr="00B968DB" w14:paraId="5BA2E58D"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3852FA08" w14:textId="137135AB" w:rsidR="00B968DB" w:rsidRPr="006501FF" w:rsidRDefault="006501FF" w:rsidP="00B968DB">
            <w:pPr>
              <w:spacing w:after="0" w:line="240" w:lineRule="auto"/>
              <w:rPr>
                <w:rFonts w:ascii="Arial" w:eastAsia="Times New Roman" w:hAnsi="Arial" w:cs="Arial"/>
                <w:b/>
                <w:sz w:val="18"/>
                <w:szCs w:val="18"/>
              </w:rPr>
            </w:pPr>
            <w:r w:rsidRPr="006501FF">
              <w:rPr>
                <w:rFonts w:ascii="Arial" w:eastAsia="Times New Roman" w:hAnsi="Arial" w:cs="Arial"/>
                <w:b/>
                <w:sz w:val="18"/>
                <w:szCs w:val="18"/>
              </w:rPr>
              <w:t>16.1</w:t>
            </w:r>
          </w:p>
        </w:tc>
        <w:tc>
          <w:tcPr>
            <w:tcW w:w="0" w:type="auto"/>
            <w:tcBorders>
              <w:top w:val="single" w:sz="6" w:space="0" w:color="auto"/>
              <w:left w:val="single" w:sz="6" w:space="0" w:color="auto"/>
              <w:bottom w:val="single" w:sz="6" w:space="0" w:color="auto"/>
              <w:right w:val="single" w:sz="6" w:space="0" w:color="auto"/>
            </w:tcBorders>
            <w:hideMark/>
          </w:tcPr>
          <w:p w14:paraId="624EC43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Implement Local High Priority Capital and Non-Capital Habitat Protection and Restoration Projects</w:t>
            </w:r>
          </w:p>
        </w:tc>
        <w:tc>
          <w:tcPr>
            <w:tcW w:w="0" w:type="auto"/>
            <w:tcBorders>
              <w:top w:val="single" w:sz="6" w:space="0" w:color="auto"/>
              <w:left w:val="single" w:sz="6" w:space="0" w:color="auto"/>
              <w:bottom w:val="single" w:sz="6" w:space="0" w:color="auto"/>
              <w:right w:val="single" w:sz="6" w:space="0" w:color="auto"/>
            </w:tcBorders>
            <w:hideMark/>
          </w:tcPr>
          <w:p w14:paraId="02CA84D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Similar to 2016 Action Agenda substrategy 16.1 but is not limited to nearshore and estuaries (includes uplands/terrestrial systems).</w:t>
            </w:r>
          </w:p>
        </w:tc>
        <w:tc>
          <w:tcPr>
            <w:tcW w:w="0" w:type="auto"/>
            <w:tcBorders>
              <w:top w:val="single" w:sz="6" w:space="0" w:color="auto"/>
              <w:left w:val="single" w:sz="6" w:space="0" w:color="auto"/>
              <w:bottom w:val="single" w:sz="6" w:space="0" w:color="auto"/>
              <w:right w:val="single" w:sz="6" w:space="0" w:color="auto"/>
            </w:tcBorders>
            <w:hideMark/>
          </w:tcPr>
          <w:p w14:paraId="2E57068C" w14:textId="77777777" w:rsidR="00B968DB" w:rsidRPr="00B968DB" w:rsidRDefault="00B968DB" w:rsidP="00B968DB">
            <w:pPr>
              <w:spacing w:after="0" w:line="240" w:lineRule="auto"/>
              <w:rPr>
                <w:rFonts w:ascii="Arial" w:eastAsia="Times New Roman" w:hAnsi="Arial" w:cs="Arial"/>
                <w:sz w:val="18"/>
                <w:szCs w:val="18"/>
              </w:rPr>
            </w:pPr>
          </w:p>
        </w:tc>
      </w:tr>
      <w:tr w:rsidR="00B968DB" w:rsidRPr="00B968DB" w14:paraId="21698466"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134D4803" w14:textId="1A83AA5C" w:rsidR="00B968DB" w:rsidRPr="006501FF" w:rsidRDefault="006501FF" w:rsidP="00B968DB">
            <w:pPr>
              <w:spacing w:after="0" w:line="240" w:lineRule="auto"/>
              <w:rPr>
                <w:rFonts w:ascii="Arial" w:eastAsia="Times New Roman" w:hAnsi="Arial" w:cs="Arial"/>
                <w:b/>
                <w:sz w:val="18"/>
                <w:szCs w:val="18"/>
              </w:rPr>
            </w:pPr>
            <w:r w:rsidRPr="006501FF">
              <w:rPr>
                <w:rFonts w:ascii="Arial" w:eastAsia="Times New Roman" w:hAnsi="Arial" w:cs="Arial"/>
                <w:b/>
                <w:sz w:val="18"/>
                <w:szCs w:val="18"/>
              </w:rPr>
              <w:t>27, 28</w:t>
            </w:r>
          </w:p>
        </w:tc>
        <w:tc>
          <w:tcPr>
            <w:tcW w:w="0" w:type="auto"/>
            <w:tcBorders>
              <w:top w:val="single" w:sz="6" w:space="0" w:color="auto"/>
              <w:left w:val="single" w:sz="6" w:space="0" w:color="auto"/>
              <w:bottom w:val="single" w:sz="6" w:space="0" w:color="auto"/>
              <w:right w:val="single" w:sz="6" w:space="0" w:color="auto"/>
            </w:tcBorders>
            <w:hideMark/>
          </w:tcPr>
          <w:p w14:paraId="16D06340"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Enhance Local Communication, Education, Behavior Change and Public Involvement Programs</w:t>
            </w:r>
          </w:p>
        </w:tc>
        <w:tc>
          <w:tcPr>
            <w:tcW w:w="0" w:type="auto"/>
            <w:tcBorders>
              <w:top w:val="single" w:sz="6" w:space="0" w:color="auto"/>
              <w:left w:val="single" w:sz="6" w:space="0" w:color="auto"/>
              <w:bottom w:val="single" w:sz="6" w:space="0" w:color="auto"/>
              <w:right w:val="single" w:sz="6" w:space="0" w:color="auto"/>
            </w:tcBorders>
            <w:hideMark/>
          </w:tcPr>
          <w:p w14:paraId="537C3EA7"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Consistent with 2016 Action Agenda Strategy 27 and 2016 Action Agenda Strategy 28</w:t>
            </w:r>
          </w:p>
        </w:tc>
        <w:tc>
          <w:tcPr>
            <w:tcW w:w="0" w:type="auto"/>
            <w:tcBorders>
              <w:top w:val="single" w:sz="6" w:space="0" w:color="auto"/>
              <w:left w:val="single" w:sz="6" w:space="0" w:color="auto"/>
              <w:bottom w:val="single" w:sz="6" w:space="0" w:color="auto"/>
              <w:right w:val="single" w:sz="6" w:space="0" w:color="auto"/>
            </w:tcBorders>
            <w:hideMark/>
          </w:tcPr>
          <w:p w14:paraId="607C738B" w14:textId="77777777" w:rsidR="00B968DB" w:rsidRPr="00B968DB" w:rsidRDefault="00B968DB" w:rsidP="00B968DB">
            <w:pPr>
              <w:spacing w:after="0" w:line="240" w:lineRule="auto"/>
              <w:rPr>
                <w:rFonts w:ascii="Arial" w:eastAsia="Times New Roman" w:hAnsi="Arial" w:cs="Arial"/>
                <w:sz w:val="18"/>
                <w:szCs w:val="18"/>
              </w:rPr>
            </w:pPr>
          </w:p>
        </w:tc>
      </w:tr>
      <w:tr w:rsidR="00B968DB" w:rsidRPr="00B968DB" w14:paraId="2CE745D1"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6808FBEB" w14:textId="3F32C675" w:rsidR="00B968DB" w:rsidRPr="006501FF" w:rsidRDefault="006501FF" w:rsidP="00B968DB">
            <w:pPr>
              <w:spacing w:after="0" w:line="240" w:lineRule="auto"/>
              <w:rPr>
                <w:rFonts w:ascii="Arial" w:eastAsia="Times New Roman" w:hAnsi="Arial" w:cs="Arial"/>
                <w:b/>
                <w:sz w:val="18"/>
                <w:szCs w:val="18"/>
              </w:rPr>
            </w:pPr>
            <w:r w:rsidRPr="006501FF">
              <w:rPr>
                <w:rFonts w:ascii="Arial" w:eastAsia="Times New Roman" w:hAnsi="Arial" w:cs="Arial"/>
                <w:b/>
                <w:sz w:val="18"/>
                <w:szCs w:val="18"/>
              </w:rPr>
              <w:t>7.3</w:t>
            </w:r>
          </w:p>
        </w:tc>
        <w:tc>
          <w:tcPr>
            <w:tcW w:w="0" w:type="auto"/>
            <w:tcBorders>
              <w:top w:val="single" w:sz="6" w:space="0" w:color="auto"/>
              <w:left w:val="single" w:sz="6" w:space="0" w:color="auto"/>
              <w:bottom w:val="single" w:sz="6" w:space="0" w:color="auto"/>
              <w:right w:val="single" w:sz="6" w:space="0" w:color="auto"/>
            </w:tcBorders>
            <w:hideMark/>
          </w:tcPr>
          <w:p w14:paraId="3BB54F6C"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Implement Local Water Resource Management Programs and Rules</w:t>
            </w:r>
          </w:p>
        </w:tc>
        <w:tc>
          <w:tcPr>
            <w:tcW w:w="0" w:type="auto"/>
            <w:tcBorders>
              <w:top w:val="single" w:sz="6" w:space="0" w:color="auto"/>
              <w:left w:val="single" w:sz="6" w:space="0" w:color="auto"/>
              <w:bottom w:val="single" w:sz="6" w:space="0" w:color="auto"/>
              <w:right w:val="single" w:sz="6" w:space="0" w:color="auto"/>
            </w:tcBorders>
            <w:hideMark/>
          </w:tcPr>
          <w:p w14:paraId="35B4AF09"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Similar to 2016 Action Agenda substrategy 7.3</w:t>
            </w:r>
          </w:p>
        </w:tc>
        <w:tc>
          <w:tcPr>
            <w:tcW w:w="0" w:type="auto"/>
            <w:tcBorders>
              <w:top w:val="single" w:sz="6" w:space="0" w:color="auto"/>
              <w:left w:val="single" w:sz="6" w:space="0" w:color="auto"/>
              <w:bottom w:val="single" w:sz="6" w:space="0" w:color="auto"/>
              <w:right w:val="single" w:sz="6" w:space="0" w:color="auto"/>
            </w:tcBorders>
            <w:hideMark/>
          </w:tcPr>
          <w:p w14:paraId="6FABCD13" w14:textId="77777777" w:rsidR="00B968DB" w:rsidRPr="00B968DB" w:rsidRDefault="00B968DB" w:rsidP="00B968DB">
            <w:pPr>
              <w:spacing w:after="0" w:line="240" w:lineRule="auto"/>
              <w:rPr>
                <w:rFonts w:ascii="Arial" w:eastAsia="Times New Roman" w:hAnsi="Arial" w:cs="Arial"/>
                <w:sz w:val="18"/>
                <w:szCs w:val="18"/>
              </w:rPr>
            </w:pPr>
          </w:p>
        </w:tc>
      </w:tr>
      <w:tr w:rsidR="00B968DB" w:rsidRPr="00B968DB" w14:paraId="1E46DDB8"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3F6E3CC4" w14:textId="61578F04" w:rsidR="00B968DB" w:rsidRPr="006501FF" w:rsidRDefault="006501FF" w:rsidP="00B968DB">
            <w:pPr>
              <w:spacing w:after="0" w:line="240" w:lineRule="auto"/>
              <w:rPr>
                <w:rFonts w:ascii="Arial" w:eastAsia="Times New Roman" w:hAnsi="Arial" w:cs="Arial"/>
                <w:b/>
                <w:sz w:val="18"/>
                <w:szCs w:val="18"/>
              </w:rPr>
            </w:pPr>
            <w:r w:rsidRPr="006501FF">
              <w:rPr>
                <w:rFonts w:ascii="Arial" w:eastAsia="Times New Roman" w:hAnsi="Arial" w:cs="Arial"/>
                <w:b/>
                <w:sz w:val="18"/>
                <w:szCs w:val="18"/>
              </w:rPr>
              <w:t>3</w:t>
            </w:r>
          </w:p>
        </w:tc>
        <w:tc>
          <w:tcPr>
            <w:tcW w:w="0" w:type="auto"/>
            <w:tcBorders>
              <w:top w:val="single" w:sz="6" w:space="0" w:color="auto"/>
              <w:left w:val="single" w:sz="6" w:space="0" w:color="auto"/>
              <w:bottom w:val="single" w:sz="6" w:space="0" w:color="auto"/>
              <w:right w:val="single" w:sz="6" w:space="0" w:color="auto"/>
            </w:tcBorders>
            <w:hideMark/>
          </w:tcPr>
          <w:p w14:paraId="031DFCE1"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Implement and expand programs to promote, conserve, and expand natural resource lands (agriculture and forestry)</w:t>
            </w:r>
          </w:p>
        </w:tc>
        <w:tc>
          <w:tcPr>
            <w:tcW w:w="0" w:type="auto"/>
            <w:tcBorders>
              <w:top w:val="single" w:sz="6" w:space="0" w:color="auto"/>
              <w:left w:val="single" w:sz="6" w:space="0" w:color="auto"/>
              <w:bottom w:val="single" w:sz="6" w:space="0" w:color="auto"/>
              <w:right w:val="single" w:sz="6" w:space="0" w:color="auto"/>
            </w:tcBorders>
            <w:hideMark/>
          </w:tcPr>
          <w:p w14:paraId="307AF6C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Consistent with 2016 Action Agenda substrategy 3</w:t>
            </w:r>
          </w:p>
        </w:tc>
        <w:tc>
          <w:tcPr>
            <w:tcW w:w="0" w:type="auto"/>
            <w:tcBorders>
              <w:top w:val="single" w:sz="6" w:space="0" w:color="auto"/>
              <w:left w:val="single" w:sz="6" w:space="0" w:color="auto"/>
              <w:bottom w:val="single" w:sz="6" w:space="0" w:color="auto"/>
              <w:right w:val="single" w:sz="6" w:space="0" w:color="auto"/>
            </w:tcBorders>
            <w:hideMark/>
          </w:tcPr>
          <w:p w14:paraId="78598B6D" w14:textId="77777777" w:rsidR="00B968DB" w:rsidRPr="00B968DB" w:rsidRDefault="00B968DB" w:rsidP="00B968DB">
            <w:pPr>
              <w:spacing w:after="0" w:line="240" w:lineRule="auto"/>
              <w:rPr>
                <w:rFonts w:ascii="Arial" w:eastAsia="Times New Roman" w:hAnsi="Arial" w:cs="Arial"/>
                <w:sz w:val="18"/>
                <w:szCs w:val="18"/>
              </w:rPr>
            </w:pPr>
          </w:p>
        </w:tc>
      </w:tr>
      <w:tr w:rsidR="00B968DB" w:rsidRPr="00B968DB" w14:paraId="6411E2C1" w14:textId="77777777" w:rsidTr="00B968DB">
        <w:tc>
          <w:tcPr>
            <w:tcW w:w="0" w:type="auto"/>
            <w:tcBorders>
              <w:top w:val="single" w:sz="6" w:space="0" w:color="auto"/>
              <w:left w:val="single" w:sz="6" w:space="0" w:color="auto"/>
              <w:bottom w:val="single" w:sz="6" w:space="0" w:color="auto"/>
              <w:right w:val="single" w:sz="6" w:space="0" w:color="auto"/>
            </w:tcBorders>
            <w:hideMark/>
          </w:tcPr>
          <w:p w14:paraId="4DDDA259" w14:textId="77777777" w:rsidR="00B968DB" w:rsidRPr="00B968DB" w:rsidRDefault="00B968DB" w:rsidP="00B968DB">
            <w:pPr>
              <w:spacing w:after="0" w:line="240" w:lineRule="auto"/>
              <w:rPr>
                <w:rFonts w:ascii="Times New Roman" w:eastAsia="Times New Roman" w:hAnsi="Times New Roman" w:cs="Times New Roman"/>
                <w:sz w:val="20"/>
                <w:szCs w:val="20"/>
              </w:rPr>
            </w:pPr>
          </w:p>
        </w:tc>
        <w:tc>
          <w:tcPr>
            <w:tcW w:w="0" w:type="auto"/>
            <w:tcBorders>
              <w:top w:val="single" w:sz="6" w:space="0" w:color="auto"/>
              <w:left w:val="single" w:sz="6" w:space="0" w:color="auto"/>
              <w:bottom w:val="single" w:sz="6" w:space="0" w:color="auto"/>
              <w:right w:val="single" w:sz="6" w:space="0" w:color="auto"/>
            </w:tcBorders>
            <w:hideMark/>
          </w:tcPr>
          <w:p w14:paraId="4AAA179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b/>
                <w:bCs/>
                <w:sz w:val="18"/>
                <w:szCs w:val="18"/>
              </w:rPr>
              <w:t>Enhance Local Communication, Education, Behavior Change and Public Involvement Programs</w:t>
            </w:r>
          </w:p>
        </w:tc>
        <w:tc>
          <w:tcPr>
            <w:tcW w:w="0" w:type="auto"/>
            <w:tcBorders>
              <w:top w:val="single" w:sz="6" w:space="0" w:color="auto"/>
              <w:left w:val="single" w:sz="6" w:space="0" w:color="auto"/>
              <w:bottom w:val="single" w:sz="6" w:space="0" w:color="auto"/>
              <w:right w:val="single" w:sz="6" w:space="0" w:color="auto"/>
            </w:tcBorders>
            <w:hideMark/>
          </w:tcPr>
          <w:p w14:paraId="7A579481"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Consistent with 2016 Action Agenda Strategy 27 and 2016 Action Agenda Strategy 28</w:t>
            </w:r>
          </w:p>
        </w:tc>
        <w:tc>
          <w:tcPr>
            <w:tcW w:w="0" w:type="auto"/>
            <w:tcBorders>
              <w:top w:val="single" w:sz="6" w:space="0" w:color="auto"/>
              <w:left w:val="single" w:sz="6" w:space="0" w:color="auto"/>
              <w:bottom w:val="single" w:sz="6" w:space="0" w:color="auto"/>
              <w:right w:val="single" w:sz="6" w:space="0" w:color="auto"/>
            </w:tcBorders>
            <w:hideMark/>
          </w:tcPr>
          <w:p w14:paraId="0CE90FDA" w14:textId="77777777" w:rsidR="00B968DB" w:rsidRPr="00B968DB" w:rsidRDefault="00B968DB" w:rsidP="00B968DB">
            <w:pPr>
              <w:spacing w:after="0" w:line="240" w:lineRule="auto"/>
              <w:rPr>
                <w:rFonts w:ascii="Arial" w:eastAsia="Times New Roman" w:hAnsi="Arial" w:cs="Arial"/>
                <w:sz w:val="18"/>
                <w:szCs w:val="18"/>
              </w:rPr>
            </w:pPr>
          </w:p>
        </w:tc>
      </w:tr>
    </w:tbl>
    <w:p w14:paraId="6CF5C220" w14:textId="77777777" w:rsidR="00B968DB" w:rsidRPr="00B968DB" w:rsidRDefault="00B968DB" w:rsidP="00B968DB">
      <w:pPr>
        <w:spacing w:before="300" w:after="150" w:line="240" w:lineRule="auto"/>
        <w:outlineLvl w:val="1"/>
        <w:rPr>
          <w:rFonts w:ascii="Trebuchet MS" w:eastAsia="Times New Roman" w:hAnsi="Trebuchet MS" w:cs="Times New Roman"/>
          <w:b/>
          <w:bCs/>
          <w:caps/>
          <w:color w:val="003A5D"/>
          <w:sz w:val="24"/>
          <w:szCs w:val="24"/>
        </w:rPr>
      </w:pPr>
      <w:bookmarkStart w:id="68" w:name="_Toc462918341"/>
      <w:r w:rsidRPr="00B968DB">
        <w:rPr>
          <w:rFonts w:ascii="Trebuchet MS" w:eastAsia="Times New Roman" w:hAnsi="Trebuchet MS" w:cs="Times New Roman"/>
          <w:b/>
          <w:bCs/>
          <w:caps/>
          <w:color w:val="003A5D"/>
          <w:sz w:val="24"/>
          <w:szCs w:val="24"/>
        </w:rPr>
        <w:t>THEORIES OF CHANGE</w:t>
      </w:r>
      <w:bookmarkEnd w:id="68"/>
    </w:p>
    <w:p w14:paraId="2B2538DE" w14:textId="77777777" w:rsidR="00B968DB" w:rsidRPr="00B968DB" w:rsidRDefault="00B968DB" w:rsidP="00B968DB">
      <w:pPr>
        <w:spacing w:after="150" w:line="240" w:lineRule="auto"/>
        <w:rPr>
          <w:rFonts w:ascii="Arial" w:eastAsia="Times New Roman" w:hAnsi="Arial" w:cs="Arial"/>
          <w:color w:val="003A5D"/>
          <w:sz w:val="20"/>
          <w:szCs w:val="20"/>
        </w:rPr>
      </w:pPr>
      <w:r w:rsidRPr="00B968DB">
        <w:rPr>
          <w:rFonts w:ascii="Arial" w:eastAsia="Times New Roman" w:hAnsi="Arial" w:cs="Arial"/>
          <w:color w:val="003A5D"/>
          <w:sz w:val="20"/>
          <w:szCs w:val="20"/>
        </w:rPr>
        <w:t xml:space="preserve">This section describes theories of change documenting our assumptions about how strategies and actions are intended to help reduce pressures and achieve our ecosystem and human wellbeing recovery goals. Results chains illustrating the cause and effect relationships linking action </w:t>
      </w:r>
      <w:r w:rsidRPr="00B968DB">
        <w:rPr>
          <w:rFonts w:ascii="Arial" w:eastAsia="Times New Roman" w:hAnsi="Arial" w:cs="Arial"/>
          <w:color w:val="003A5D"/>
          <w:sz w:val="20"/>
          <w:szCs w:val="20"/>
        </w:rPr>
        <w:lastRenderedPageBreak/>
        <w:t>implementation to desired intermediate and long-term results are included in Appendix D. Common terms used in this section are defined in the Glossary (Appendix A) and in Appendix D.</w:t>
      </w:r>
    </w:p>
    <w:p w14:paraId="4CB30E10" w14:textId="77777777" w:rsidR="00290C9D" w:rsidRDefault="00290C9D" w:rsidP="00A63144">
      <w:pPr>
        <w:spacing w:after="0" w:line="240" w:lineRule="auto"/>
        <w:rPr>
          <w:rFonts w:ascii="Arial" w:eastAsia="Times New Roman" w:hAnsi="Arial" w:cs="Arial"/>
          <w:color w:val="000000"/>
          <w:sz w:val="27"/>
          <w:szCs w:val="27"/>
        </w:rPr>
      </w:pPr>
    </w:p>
    <w:p w14:paraId="724214FB" w14:textId="3920C5E7" w:rsidR="00B968DB" w:rsidRPr="00B968DB" w:rsidRDefault="00B968DB" w:rsidP="00A63144">
      <w:pPr>
        <w:spacing w:after="0" w:line="240" w:lineRule="auto"/>
        <w:rPr>
          <w:rFonts w:ascii="Trebuchet MS" w:eastAsia="Times New Roman" w:hAnsi="Trebuchet MS" w:cs="Times New Roman"/>
          <w:b/>
          <w:bCs/>
          <w:caps/>
          <w:color w:val="003A5D"/>
          <w:sz w:val="24"/>
          <w:szCs w:val="24"/>
        </w:rPr>
      </w:pPr>
      <w:bookmarkStart w:id="69" w:name="_Toc462918342"/>
      <w:r w:rsidRPr="00B968DB">
        <w:rPr>
          <w:rFonts w:ascii="Trebuchet MS" w:eastAsia="Times New Roman" w:hAnsi="Trebuchet MS" w:cs="Times New Roman"/>
          <w:b/>
          <w:bCs/>
          <w:caps/>
          <w:color w:val="003A5D"/>
          <w:sz w:val="24"/>
          <w:szCs w:val="24"/>
        </w:rPr>
        <w:t>THEORY OF CHANGE: FRESHWATER LEVEES, FLOODGATES, TIDEGATES 1</w:t>
      </w:r>
      <w:bookmarkEnd w:id="69"/>
      <w:r w:rsidR="009735F3">
        <w:rPr>
          <w:rFonts w:ascii="Trebuchet MS" w:eastAsia="Times New Roman" w:hAnsi="Trebuchet MS" w:cs="Times New Roman"/>
          <w:b/>
          <w:bCs/>
          <w:caps/>
          <w:color w:val="003A5D"/>
          <w:sz w:val="24"/>
          <w:szCs w:val="24"/>
        </w:rPr>
        <w:t xml:space="preserve"> </w:t>
      </w:r>
    </w:p>
    <w:p w14:paraId="74425C12" w14:textId="77777777" w:rsidR="009735F3" w:rsidRPr="00B968DB" w:rsidRDefault="009735F3" w:rsidP="00B968DB">
      <w:pPr>
        <w:spacing w:before="75" w:after="75" w:line="240" w:lineRule="auto"/>
        <w:outlineLvl w:val="3"/>
        <w:rPr>
          <w:rFonts w:ascii="Trebuchet MS" w:eastAsia="Times New Roman" w:hAnsi="Trebuchet MS" w:cs="Times New Roman"/>
          <w:b/>
          <w:bCs/>
          <w:i/>
          <w:iCs/>
          <w:color w:val="003A5D"/>
          <w:sz w:val="18"/>
          <w:szCs w:val="18"/>
        </w:rPr>
      </w:pPr>
    </w:p>
    <w:p w14:paraId="6941B26B"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70" w:name="_Toc462918343"/>
      <w:r w:rsidRPr="00B968DB">
        <w:rPr>
          <w:rFonts w:ascii="Trebuchet MS" w:eastAsia="Times New Roman" w:hAnsi="Trebuchet MS" w:cs="Times New Roman"/>
          <w:b/>
          <w:bCs/>
          <w:caps/>
          <w:color w:val="003A5D"/>
          <w:sz w:val="20"/>
          <w:szCs w:val="20"/>
        </w:rPr>
        <w:t>STRATEGY: ENHANCE ONGOING IMPLEMENTATION OF LOCAL SHORELINE AND LAND USE MANAGEMENT, PROTECTION, RESTORATION, INCENTIVE PROGRAMS AND PLANS</w:t>
      </w:r>
      <w:bookmarkEnd w:id="70"/>
    </w:p>
    <w:p w14:paraId="1866A224"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strategies 2, 3, 5, 16, 17</w:t>
      </w:r>
    </w:p>
    <w:p w14:paraId="34670ECE"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7F9A607A"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0AFB280"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F5FC526"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81B04F8"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24B07937"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07425F9"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2E1B2D2"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7961BAD"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Focusing in agricultural lands adjacent salmon-bearing streams, this collaboration will restore riparian function while preserving farmland.</w:t>
            </w:r>
          </w:p>
        </w:tc>
      </w:tr>
      <w:tr w:rsidR="00B968DB" w:rsidRPr="00B968DB" w14:paraId="57F8A32A"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12703C1"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0C7D59B"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D5A9AFD"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proposed project would restore tidal processes to 275 acres of large river delta at the mouth of the Deschutes River. This phase will complete one of the final two studies needed before restoration can begin by creating an equitable funding strategy.</w:t>
            </w:r>
          </w:p>
        </w:tc>
      </w:tr>
      <w:tr w:rsidR="00B968DB" w:rsidRPr="00B968DB" w14:paraId="2FB32CCF"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898787E"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C536BB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7591623"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STORM and countywide partners will update a local-scale Natural Yard Care (NYC) campaign within King County that extends updated NYC and Puget Sound Starts Here (PSSH) messages, workshops, speaker training, incentives, evaluation and web site support.</w:t>
            </w:r>
          </w:p>
        </w:tc>
      </w:tr>
      <w:tr w:rsidR="00B968DB" w:rsidRPr="00B968DB" w14:paraId="38F6B738"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7CAD0DA"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ABAF1E6"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0DEA89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A feasibility study for dam removal was funded by SRFB in Dec. 2015. This proposal is to acquire the dam &amp; complete a site restoration plan (final design) based off of the data derived from the master plan under multiple dam removal scenarios.</w:t>
            </w:r>
          </w:p>
        </w:tc>
      </w:tr>
      <w:tr w:rsidR="00B968DB" w:rsidRPr="00B968DB" w14:paraId="55DE1D6D"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BDFBDAD"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17C89F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1C6775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Shore Friendly effort proactively connects shoreline owners with science-based, non-regulatory, professional technical assistance to reverse the trends of shoreline armoring and degradation, and facilitates change towards stewardship and conservation.</w:t>
            </w:r>
          </w:p>
        </w:tc>
      </w:tr>
    </w:tbl>
    <w:p w14:paraId="54B4747E" w14:textId="2C58BC7A"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71" w:name="_Toc462918344"/>
      <w:r w:rsidRPr="00B968DB">
        <w:rPr>
          <w:rFonts w:ascii="Trebuchet MS" w:eastAsia="Times New Roman" w:hAnsi="Trebuchet MS" w:cs="Times New Roman"/>
          <w:b/>
          <w:bCs/>
          <w:caps/>
          <w:color w:val="003A5D"/>
          <w:sz w:val="24"/>
          <w:szCs w:val="24"/>
        </w:rPr>
        <w:t xml:space="preserve">THEORY OF CHANGE: FRESHWATER LEVEES, FLOODGATES, TIDEGATES 2: </w:t>
      </w:r>
      <w:bookmarkEnd w:id="71"/>
    </w:p>
    <w:p w14:paraId="75CE3887"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72" w:name="_Toc462918345"/>
      <w:r w:rsidRPr="00B968DB">
        <w:rPr>
          <w:rFonts w:ascii="Trebuchet MS" w:eastAsia="Times New Roman" w:hAnsi="Trebuchet MS" w:cs="Times New Roman"/>
          <w:b/>
          <w:bCs/>
          <w:caps/>
          <w:color w:val="003A5D"/>
          <w:sz w:val="20"/>
          <w:szCs w:val="20"/>
        </w:rPr>
        <w:t>STRATEGY: IMPLEMENT LOCAL HIGH PRIORITY CAPITAL AND NON-CAPITAL HABITAT PROTECTION AND RESTORATION PROJECTS</w:t>
      </w:r>
      <w:bookmarkEnd w:id="72"/>
    </w:p>
    <w:p w14:paraId="035B8A68"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Similar to 2016 Action Agenda substrategy 16.1 but is not limited to nearshore and estuaries (includes uplands/terrestrial systems).</w:t>
      </w:r>
    </w:p>
    <w:p w14:paraId="69D978E4"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74958ABC"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56FFBD1C"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lastRenderedPageBreak/>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C06C5CC"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ADEE8CC"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0C44484A"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7F84A15"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B3EBDCC"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10447D3"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proposed project would restore tidal processes to 275 acres of large river delta at the mouth of the Deschutes River. This phase will complete one of the final two studies needed before restoration can begin by creating an equitable funding strategy.</w:t>
            </w:r>
          </w:p>
        </w:tc>
      </w:tr>
      <w:tr w:rsidR="00B968DB" w:rsidRPr="00B968DB" w14:paraId="422CF22E"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296022B"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FDE09C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42B0A0A"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STORM and countywide partners will update a local-scale Natural Yard Care (NYC) campaign within King County that extends updated NYC and Puget Sound Starts Here (PSSH) messages, workshops, speaker training, incentives, evaluation and web site support.</w:t>
            </w:r>
          </w:p>
        </w:tc>
      </w:tr>
      <w:tr w:rsidR="00B968DB" w:rsidRPr="00B968DB" w14:paraId="0DF2F9BB"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153B2AA"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2FA0970"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D48D3D3"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A feasibility study for dam removal was funded by SRFB in Dec. 2015. This proposal is to acquire the dam &amp; complete a site restoration plan (final design) based off of the data derived from the master plan under multiple dam removal scenarios.</w:t>
            </w:r>
          </w:p>
        </w:tc>
      </w:tr>
      <w:tr w:rsidR="00B968DB" w:rsidRPr="00B968DB" w14:paraId="4794B497"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D6337A0"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259D3E9"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2016-0173 Nisqually Community Forest Acquisition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B2362DD"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Permanently protect habitat for threatened Nisqually steelhead and Chinook and to protect the recovery trajectory of Mashel sub-basin through acquisition of sensitive properties under threat of forestry practices that could result in excessive erosion.</w:t>
            </w:r>
          </w:p>
        </w:tc>
      </w:tr>
      <w:tr w:rsidR="00B968DB" w:rsidRPr="00B968DB" w14:paraId="17B9C8C4"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EE0EBE2"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5C60D9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2016-0094 Henderson Inlet Habitat Protection and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A039D6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This project will acquire in fee title 105-acres of biologically-sensitive estuary, nearshore and riparian habitat along the shoreline of Henderson Inlet in Thurston County, Washington, and will restore the marine shoreline of the Harmony Farms property.</w:t>
            </w:r>
          </w:p>
        </w:tc>
      </w:tr>
      <w:tr w:rsidR="00B968DB" w:rsidRPr="00B968DB" w14:paraId="0CE2427A"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D57CCF6"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C5ED75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2016-0092 Titlow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D7782D1"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Titlow NTA is a multi-faceted planning and implementation effort to remove shoreline armor and fill, restore fish passage and tidal hydrology, reclaim estuarine and emergent wetlands, and remediate effects of stormwater in Titlow Park.</w:t>
            </w:r>
          </w:p>
        </w:tc>
      </w:tr>
      <w:tr w:rsidR="00B968DB" w:rsidRPr="00B968DB" w14:paraId="04AF00FF"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F1CFEC9"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6675542"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2016-1158 South Prairie Creek (River Miles 4.0 to 4.6) Floodplain Project Phase 1</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53EC8EC"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This project is a phase 1 approach restore instream habitat and channel profile and reforest 18 acres in advance of a phase 2 project to restore a half mile of side channel habitat and reconnect and replant 45 acres of floodplain on South Prairie Creek.</w:t>
            </w:r>
          </w:p>
        </w:tc>
      </w:tr>
    </w:tbl>
    <w:p w14:paraId="6A8DF965" w14:textId="0B2594FE"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73" w:name="_Toc462918346"/>
      <w:r w:rsidRPr="00B968DB">
        <w:rPr>
          <w:rFonts w:ascii="Trebuchet MS" w:eastAsia="Times New Roman" w:hAnsi="Trebuchet MS" w:cs="Times New Roman"/>
          <w:b/>
          <w:bCs/>
          <w:caps/>
          <w:color w:val="003A5D"/>
          <w:sz w:val="24"/>
          <w:szCs w:val="24"/>
        </w:rPr>
        <w:t xml:space="preserve">THEORY OF CHANGE: HOUSING AND URBAN AREAS 1: </w:t>
      </w:r>
      <w:bookmarkEnd w:id="73"/>
    </w:p>
    <w:p w14:paraId="6270817C"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74" w:name="_Toc462918347"/>
      <w:r w:rsidRPr="00B968DB">
        <w:rPr>
          <w:rFonts w:ascii="Trebuchet MS" w:eastAsia="Times New Roman" w:hAnsi="Trebuchet MS" w:cs="Times New Roman"/>
          <w:b/>
          <w:bCs/>
          <w:caps/>
          <w:color w:val="003A5D"/>
          <w:sz w:val="20"/>
          <w:szCs w:val="20"/>
        </w:rPr>
        <w:t>STRATEGY: ENHANCE LOCAL COMMUNICATION, EDUCATION, BEHAVIOR CHANGE AND PUBLIC INVOLVEMENT PROGRAMS</w:t>
      </w:r>
      <w:bookmarkEnd w:id="74"/>
    </w:p>
    <w:p w14:paraId="11244BBD"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Strategy 27 and 2016 Action Agenda Strategy 28</w:t>
      </w:r>
    </w:p>
    <w:p w14:paraId="387A5565"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0A2E6459"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482AE553"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lastRenderedPageBreak/>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0AC6EA1"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21CE948"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0A2F9192"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0CC611B"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BB61A2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4173A9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Focusing in agricultural lands adjacent salmon-bearing streams, this collaboration will restore riparian function while preserving farmland.</w:t>
            </w:r>
          </w:p>
        </w:tc>
      </w:tr>
      <w:tr w:rsidR="00B968DB" w:rsidRPr="00B968DB" w14:paraId="60D87900"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DF031EE"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2B85186"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41C6841"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Shore Friendly effort proactively connects shoreline owners with science-based, non-regulatory, professional technical assistance to reverse the trends of shoreline armoring and degradation, and facilitates change towards stewardship and conservation.</w:t>
            </w:r>
          </w:p>
        </w:tc>
      </w:tr>
      <w:tr w:rsidR="00B968DB" w:rsidRPr="00B968DB" w14:paraId="1C26890C"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BA6EAB6"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D872FAA"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2016-0170 K–12 Field Investigation Program</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63C8E29"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K-12 Stormwater Field Investigation Program coordinates local partners to provide reliable field sites for place-based curricula with Mason County schools.</w:t>
            </w:r>
          </w:p>
        </w:tc>
      </w:tr>
    </w:tbl>
    <w:p w14:paraId="5D49998A" w14:textId="51BE7972"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75" w:name="_Toc462918348"/>
      <w:r w:rsidRPr="00B968DB">
        <w:rPr>
          <w:rFonts w:ascii="Trebuchet MS" w:eastAsia="Times New Roman" w:hAnsi="Trebuchet MS" w:cs="Times New Roman"/>
          <w:b/>
          <w:bCs/>
          <w:caps/>
          <w:color w:val="003A5D"/>
          <w:sz w:val="24"/>
          <w:szCs w:val="24"/>
        </w:rPr>
        <w:t>THEORY OF CHANGE: HOUSING AND URBAN AREAS 2</w:t>
      </w:r>
      <w:bookmarkEnd w:id="75"/>
      <w:r w:rsidR="009735F3">
        <w:rPr>
          <w:rFonts w:ascii="Trebuchet MS" w:eastAsia="Times New Roman" w:hAnsi="Trebuchet MS" w:cs="Times New Roman"/>
          <w:b/>
          <w:bCs/>
          <w:caps/>
          <w:color w:val="003A5D"/>
          <w:sz w:val="24"/>
          <w:szCs w:val="24"/>
        </w:rPr>
        <w:t xml:space="preserve"> </w:t>
      </w:r>
    </w:p>
    <w:p w14:paraId="2D28229F"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76" w:name="_Toc462918349"/>
      <w:r w:rsidRPr="00B968DB">
        <w:rPr>
          <w:rFonts w:ascii="Trebuchet MS" w:eastAsia="Times New Roman" w:hAnsi="Trebuchet MS" w:cs="Times New Roman"/>
          <w:b/>
          <w:bCs/>
          <w:caps/>
          <w:color w:val="003A5D"/>
          <w:sz w:val="20"/>
          <w:szCs w:val="20"/>
        </w:rPr>
        <w:t>STRATEGY: ENHANCE ONGOING IMPLEMENTATION OF LOCAL SHORELINE AND LAND USE MANAGEMENT, PROTECTION, RESTORATION, INCENTIVE PROGRAMS AND PLANS</w:t>
      </w:r>
      <w:bookmarkEnd w:id="76"/>
    </w:p>
    <w:p w14:paraId="77C4F1B8"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strategies 2, 3, 5, 16, 17</w:t>
      </w:r>
    </w:p>
    <w:p w14:paraId="597A1661"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26F9664D"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BB96EDD"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53DEF624"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B95A576"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265E99E6"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8D667EC"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45D9B4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61BDF9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Focusing in agricultural lands adjacent salmon-bearing streams, this collaboration will restore riparian function while preserving farmland.</w:t>
            </w:r>
          </w:p>
        </w:tc>
      </w:tr>
      <w:tr w:rsidR="00B968DB" w:rsidRPr="00B968DB" w14:paraId="0491899F"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642DCCE"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E1D92EB"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F9A112B"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proposed project would restore tidal processes to 275 acres of large river delta at the mouth of the Deschutes River. This phase will complete one of the final two studies needed before restoration can begin by creating an equitable funding strategy.</w:t>
            </w:r>
          </w:p>
        </w:tc>
      </w:tr>
      <w:tr w:rsidR="00B968DB" w:rsidRPr="00B968DB" w14:paraId="2A2FC889"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E595AEC"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501F87C"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7A68456"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STORM and countywide partners will update a local-scale Natural Yard Care (NYC) campaign within King County that extends updated NYC and Puget Sound Starts Here (PSSH) messages, workshops, speaker training, incentives, evaluation and web site support.</w:t>
            </w:r>
          </w:p>
        </w:tc>
      </w:tr>
      <w:tr w:rsidR="00B968DB" w:rsidRPr="00B968DB" w14:paraId="014AA658"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62CFBD3"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6C58F2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4112879"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A feasibility study for dam removal was funded by SRFB in Dec. 2015. This proposal is to acquire the dam &amp; complete a site restoration plan (final design) based off of the data derived from the master plan under multiple dam removal scenarios.</w:t>
            </w:r>
          </w:p>
        </w:tc>
      </w:tr>
      <w:tr w:rsidR="00B968DB" w:rsidRPr="00B968DB" w14:paraId="1A0E0D8A"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7DC1F2A"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2A453A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529A790"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Shore Friendly effort proactively connects shoreline owners with science-based, non-regulatory, professional technical assistance to reverse the trends of shoreline armoring and degradation, and facilitates change towards stewardship and conservation.</w:t>
            </w:r>
          </w:p>
        </w:tc>
      </w:tr>
    </w:tbl>
    <w:p w14:paraId="75EEFA70" w14:textId="568A49E5"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77" w:name="_Toc462918350"/>
      <w:r w:rsidRPr="00B968DB">
        <w:rPr>
          <w:rFonts w:ascii="Trebuchet MS" w:eastAsia="Times New Roman" w:hAnsi="Trebuchet MS" w:cs="Times New Roman"/>
          <w:b/>
          <w:bCs/>
          <w:caps/>
          <w:color w:val="003A5D"/>
          <w:sz w:val="24"/>
          <w:szCs w:val="24"/>
        </w:rPr>
        <w:t xml:space="preserve">THEORY OF CHANGE: HOUSING AND URBAN AREAS 3: </w:t>
      </w:r>
      <w:bookmarkEnd w:id="77"/>
    </w:p>
    <w:p w14:paraId="6EF3226A"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78" w:name="_Toc462918351"/>
      <w:r w:rsidRPr="00B968DB">
        <w:rPr>
          <w:rFonts w:ascii="Trebuchet MS" w:eastAsia="Times New Roman" w:hAnsi="Trebuchet MS" w:cs="Times New Roman"/>
          <w:b/>
          <w:bCs/>
          <w:caps/>
          <w:color w:val="003A5D"/>
          <w:sz w:val="20"/>
          <w:szCs w:val="20"/>
        </w:rPr>
        <w:t>STRATEGY: IMPLEMENT AND EXPAND PROGRAMS TO PROMOTE, CONSERVE, AND EXPAND NATURAL RESOURCE LANDS (AGRICULTURE AND FORESTRY)</w:t>
      </w:r>
      <w:bookmarkEnd w:id="78"/>
    </w:p>
    <w:p w14:paraId="007C3F90"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substrategy 3</w:t>
      </w:r>
    </w:p>
    <w:p w14:paraId="399F1EF3"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2"/>
        <w:gridCol w:w="8897"/>
      </w:tblGrid>
      <w:tr w:rsidR="00B968DB" w:rsidRPr="00B968DB" w14:paraId="348DE095"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8732D7E"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5A4F836"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4D32DBA"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538A210A"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1ED8DD1"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1667506"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2A448C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Focusing in agricultural lands adjacent salmon-bearing streams, this collaboration will restore riparian function while preserving farmland.</w:t>
            </w:r>
          </w:p>
        </w:tc>
      </w:tr>
    </w:tbl>
    <w:p w14:paraId="404DFDC9" w14:textId="34EF8D1B"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79" w:name="_Toc462918352"/>
      <w:r w:rsidRPr="00B968DB">
        <w:rPr>
          <w:rFonts w:ascii="Trebuchet MS" w:eastAsia="Times New Roman" w:hAnsi="Trebuchet MS" w:cs="Times New Roman"/>
          <w:b/>
          <w:bCs/>
          <w:caps/>
          <w:color w:val="003A5D"/>
          <w:sz w:val="24"/>
          <w:szCs w:val="24"/>
        </w:rPr>
        <w:t>THEORY OF CHANGE: HOUSING AND URBAN AREAS 4</w:t>
      </w:r>
      <w:bookmarkEnd w:id="79"/>
      <w:r w:rsidR="009735F3">
        <w:rPr>
          <w:rFonts w:ascii="Trebuchet MS" w:eastAsia="Times New Roman" w:hAnsi="Trebuchet MS" w:cs="Times New Roman"/>
          <w:b/>
          <w:bCs/>
          <w:caps/>
          <w:color w:val="003A5D"/>
          <w:sz w:val="24"/>
          <w:szCs w:val="24"/>
        </w:rPr>
        <w:t xml:space="preserve"> </w:t>
      </w:r>
    </w:p>
    <w:p w14:paraId="2F1D00E8"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80" w:name="_Toc462918353"/>
      <w:r w:rsidRPr="00B968DB">
        <w:rPr>
          <w:rFonts w:ascii="Trebuchet MS" w:eastAsia="Times New Roman" w:hAnsi="Trebuchet MS" w:cs="Times New Roman"/>
          <w:b/>
          <w:bCs/>
          <w:caps/>
          <w:color w:val="003A5D"/>
          <w:sz w:val="20"/>
          <w:szCs w:val="20"/>
        </w:rPr>
        <w:t>STRATEGY: IMPLEMENT LOCAL HIGH PRIORITY CAPITAL AND NON-CAPITAL HABITAT PROTECTION AND RESTORATION PROJECTS</w:t>
      </w:r>
      <w:bookmarkEnd w:id="80"/>
    </w:p>
    <w:p w14:paraId="06B881CD"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Similar to 2016 Action Agenda substrategy 16.1 but is not limited to nearshore and estuaries (includes uplands/terrestrial systems).</w:t>
      </w:r>
    </w:p>
    <w:p w14:paraId="6F584DD1"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09BEBAF7"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9AE3B8B"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C2F1DA3"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5690BD65"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6646A621"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5173F17"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7DC3963"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6925152"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proposed project would restore tidal processes to 275 acres of large river delta at the mouth of the Deschutes River. This phase will complete one of the final two studies needed before restoration can begin by creating an equitable funding strategy.</w:t>
            </w:r>
          </w:p>
        </w:tc>
      </w:tr>
      <w:tr w:rsidR="00B968DB" w:rsidRPr="00B968DB" w14:paraId="75AB3C72"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F603D32"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A186EA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65994B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STORM and countywide partners will update a local-scale Natural Yard Care (NYC) campaign within King County that extends updated NYC and Puget Sound Starts Here (PSSH) messages, workshops, speaker training, incentives, evaluation and web site support.</w:t>
            </w:r>
          </w:p>
        </w:tc>
      </w:tr>
      <w:tr w:rsidR="00B968DB" w:rsidRPr="00B968DB" w14:paraId="65F7F58A"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53AC6F1"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AEEEA2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A9AF6B9"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A feasibility study for dam removal was funded by SRFB in Dec. 2015. This proposal is to acquire the dam &amp; complete a site restoration plan (final design) based off of the data derived from the master plan under multiple dam removal scenarios.</w:t>
            </w:r>
          </w:p>
        </w:tc>
      </w:tr>
      <w:tr w:rsidR="00B968DB" w:rsidRPr="00B968DB" w14:paraId="76F14781"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493A345"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EEB7CBC"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2016-0173 Nisqually Community Forest Acquisition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B1D1D1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Permanently protect habitat for threatened Nisqually steelhead and Chinook and to protect the recovery trajectory of Mashel sub-basin through acquisition of sensitive properties under threat of forestry practices that could result in excessive erosion.</w:t>
            </w:r>
          </w:p>
        </w:tc>
      </w:tr>
      <w:tr w:rsidR="00B968DB" w:rsidRPr="00B968DB" w14:paraId="6FFA05A3"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1510565"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C48ABF7"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2016-0094 Henderson Inlet Habitat Protection and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AF9E60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This project will acquire in fee title 105-acres of biologically-sensitive estuary, nearshore and riparian habitat along the shoreline of Henderson Inlet in Thurston County, Washington, and will restore the marine shoreline of the Harmony Farms property.</w:t>
            </w:r>
          </w:p>
        </w:tc>
      </w:tr>
      <w:tr w:rsidR="00B968DB" w:rsidRPr="00B968DB" w14:paraId="79455554"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5B7246A"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DFCED6B"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2016-0092 Titlow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B2D05D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Titlow NTA is a multi-faceted planning and implementation effort to remove shoreline armor and fill, restore fish passage and tidal hydrology, reclaim estuarine and emergent wetlands, and remediate effects of stormwater in Titlow Park.</w:t>
            </w:r>
          </w:p>
        </w:tc>
      </w:tr>
      <w:tr w:rsidR="00B968DB" w:rsidRPr="00B968DB" w14:paraId="587ECCBC"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3E76402"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EF4A18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2016-1158 South Prairie Creek (River Miles 4.0 to 4.6) Floodplain Project Phase 1</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9E59B2C"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This project is a phase 1 approach restore instream habitat and channel profile and reforest 18 acres in advance of a phase 2 project to restore a half mile of side channel habitat and reconnect and replant 45 acres of floodplain on South Prairie Creek.</w:t>
            </w:r>
          </w:p>
        </w:tc>
      </w:tr>
    </w:tbl>
    <w:p w14:paraId="5FDE7E28" w14:textId="40153DD6"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81" w:name="_Toc462918354"/>
      <w:r w:rsidRPr="00B968DB">
        <w:rPr>
          <w:rFonts w:ascii="Trebuchet MS" w:eastAsia="Times New Roman" w:hAnsi="Trebuchet MS" w:cs="Times New Roman"/>
          <w:b/>
          <w:bCs/>
          <w:caps/>
          <w:color w:val="003A5D"/>
          <w:sz w:val="24"/>
          <w:szCs w:val="24"/>
        </w:rPr>
        <w:t>THEORY OF CHANGE: HOUSING AND URBAN AREAS 5</w:t>
      </w:r>
      <w:bookmarkEnd w:id="81"/>
      <w:r w:rsidR="009735F3">
        <w:rPr>
          <w:rFonts w:ascii="Trebuchet MS" w:eastAsia="Times New Roman" w:hAnsi="Trebuchet MS" w:cs="Times New Roman"/>
          <w:b/>
          <w:bCs/>
          <w:caps/>
          <w:color w:val="003A5D"/>
          <w:sz w:val="24"/>
          <w:szCs w:val="24"/>
        </w:rPr>
        <w:t xml:space="preserve"> </w:t>
      </w:r>
    </w:p>
    <w:p w14:paraId="492A63A1"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82" w:name="_Toc462918355"/>
      <w:r w:rsidRPr="00B968DB">
        <w:rPr>
          <w:rFonts w:ascii="Trebuchet MS" w:eastAsia="Times New Roman" w:hAnsi="Trebuchet MS" w:cs="Times New Roman"/>
          <w:b/>
          <w:bCs/>
          <w:caps/>
          <w:color w:val="003A5D"/>
          <w:sz w:val="20"/>
          <w:szCs w:val="20"/>
        </w:rPr>
        <w:t>STRATEGY: IMPLEMENT LOCAL WATER RESOURCE MANAGEMENT PROGRAMS AND RULES</w:t>
      </w:r>
      <w:bookmarkEnd w:id="82"/>
    </w:p>
    <w:p w14:paraId="7A3CFA9D"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Similar to 2016 Action Agenda substrategy 7.3</w:t>
      </w:r>
    </w:p>
    <w:p w14:paraId="10676528" w14:textId="388D705B"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p>
    <w:p w14:paraId="39CD2D93" w14:textId="3C180B34" w:rsidR="00B968DB" w:rsidRPr="00B968DB" w:rsidRDefault="00B968DB" w:rsidP="00A63144">
      <w:pPr>
        <w:spacing w:after="0" w:line="240" w:lineRule="auto"/>
        <w:rPr>
          <w:rFonts w:ascii="Trebuchet MS" w:eastAsia="Times New Roman" w:hAnsi="Trebuchet MS" w:cs="Times New Roman"/>
          <w:b/>
          <w:bCs/>
          <w:caps/>
          <w:color w:val="003A5D"/>
          <w:sz w:val="24"/>
          <w:szCs w:val="24"/>
        </w:rPr>
      </w:pPr>
      <w:bookmarkStart w:id="83" w:name="_Toc462918356"/>
      <w:r w:rsidRPr="00B968DB">
        <w:rPr>
          <w:rFonts w:ascii="Trebuchet MS" w:eastAsia="Times New Roman" w:hAnsi="Trebuchet MS" w:cs="Times New Roman"/>
          <w:b/>
          <w:bCs/>
          <w:caps/>
          <w:color w:val="003A5D"/>
          <w:sz w:val="24"/>
          <w:szCs w:val="24"/>
        </w:rPr>
        <w:t>THEORY OF CHANGE: MARINE LEVEES, FLOODGATES, TIDEGATES 1</w:t>
      </w:r>
      <w:bookmarkEnd w:id="83"/>
    </w:p>
    <w:p w14:paraId="135C6F7E"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84" w:name="_Toc462918357"/>
      <w:r w:rsidRPr="00B968DB">
        <w:rPr>
          <w:rFonts w:ascii="Trebuchet MS" w:eastAsia="Times New Roman" w:hAnsi="Trebuchet MS" w:cs="Times New Roman"/>
          <w:b/>
          <w:bCs/>
          <w:caps/>
          <w:color w:val="003A5D"/>
          <w:sz w:val="20"/>
          <w:szCs w:val="20"/>
        </w:rPr>
        <w:t>STRATEGY: ENHANCE LOCAL COMMUNICATION, EDUCATION, BEHAVIOR CHANGE AND PUBLIC INVOLVEMENT PROGRAMS</w:t>
      </w:r>
      <w:bookmarkEnd w:id="84"/>
    </w:p>
    <w:p w14:paraId="5C2DEAA5"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Strategy 27 and 2016 Action Agenda Strategy 28</w:t>
      </w:r>
    </w:p>
    <w:p w14:paraId="688FACC8"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12B35544"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AE4639F"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56CECB56"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565B96C1"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58A84B23"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4DABB71"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6559832"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CBC8E3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Shore Friendly effort proactively connects shoreline owners with science-based, non-regulatory, professional technical assistance to reverse the trends of shoreline armoring and degradation, and facilitates change towards stewardship and conservation.</w:t>
            </w:r>
          </w:p>
        </w:tc>
      </w:tr>
    </w:tbl>
    <w:p w14:paraId="74084EC0" w14:textId="696D8CC8"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85" w:name="_Toc462918358"/>
      <w:r w:rsidRPr="00B968DB">
        <w:rPr>
          <w:rFonts w:ascii="Trebuchet MS" w:eastAsia="Times New Roman" w:hAnsi="Trebuchet MS" w:cs="Times New Roman"/>
          <w:b/>
          <w:bCs/>
          <w:caps/>
          <w:color w:val="003A5D"/>
          <w:sz w:val="24"/>
          <w:szCs w:val="24"/>
        </w:rPr>
        <w:t>THEORY OF CHANGE: MARINE LEVEES, FLOODGATES, TIDEGATES 2</w:t>
      </w:r>
      <w:bookmarkEnd w:id="85"/>
      <w:r w:rsidR="009735F3">
        <w:rPr>
          <w:rFonts w:ascii="Trebuchet MS" w:eastAsia="Times New Roman" w:hAnsi="Trebuchet MS" w:cs="Times New Roman"/>
          <w:b/>
          <w:bCs/>
          <w:caps/>
          <w:color w:val="003A5D"/>
          <w:sz w:val="24"/>
          <w:szCs w:val="24"/>
        </w:rPr>
        <w:t xml:space="preserve"> </w:t>
      </w:r>
    </w:p>
    <w:p w14:paraId="19C5BC41"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86" w:name="_Toc462918359"/>
      <w:r w:rsidRPr="00B968DB">
        <w:rPr>
          <w:rFonts w:ascii="Trebuchet MS" w:eastAsia="Times New Roman" w:hAnsi="Trebuchet MS" w:cs="Times New Roman"/>
          <w:b/>
          <w:bCs/>
          <w:caps/>
          <w:color w:val="003A5D"/>
          <w:sz w:val="20"/>
          <w:szCs w:val="20"/>
        </w:rPr>
        <w:t>STRATEGY: ENHANCE ONGOING IMPLEMENTATION OF LOCAL SHORELINE AND LAND USE MANAGEMENT, PROTECTION, RESTORATION, INCENTIVE PROGRAMS AND PLANS</w:t>
      </w:r>
      <w:bookmarkEnd w:id="86"/>
    </w:p>
    <w:p w14:paraId="51D3C495"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lastRenderedPageBreak/>
        <w:t>Consistent with 2016 Action Agenda strategies 2, 3, 5, 16, 17</w:t>
      </w:r>
    </w:p>
    <w:p w14:paraId="44296018"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41D320F2"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2585C01"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2CE3954"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C7A1061"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5FC276BA"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BA3B73C"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2B9520A"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A8D09ED"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Focusing in agricultural lands adjacent salmon-bearing streams, this collaboration will restore riparian function while preserving farmland.</w:t>
            </w:r>
          </w:p>
        </w:tc>
      </w:tr>
      <w:tr w:rsidR="00B968DB" w:rsidRPr="00B968DB" w14:paraId="2D1988EE"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251AF29"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2B99FD2"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63512A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proposed project would restore tidal processes to 275 acres of large river delta at the mouth of the Deschutes River. This phase will complete one of the final two studies needed before restoration can begin by creating an equitable funding strategy.</w:t>
            </w:r>
          </w:p>
        </w:tc>
      </w:tr>
      <w:tr w:rsidR="00B968DB" w:rsidRPr="00B968DB" w14:paraId="704420A4"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7A6DA64"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715168D"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F0F1277"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STORM and countywide partners will update a local-scale Natural Yard Care (NYC) campaign within King County that extends updated NYC and Puget Sound Starts Here (PSSH) messages, workshops, speaker training, incentives, evaluation and web site support.</w:t>
            </w:r>
          </w:p>
        </w:tc>
      </w:tr>
      <w:tr w:rsidR="00B968DB" w:rsidRPr="00B968DB" w14:paraId="256AED91"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0A52360"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A4ACDA6"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2C046DB"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A feasibility study for dam removal was funded by SRFB in Dec. 2015. This proposal is to acquire the dam &amp; complete a site restoration plan (final design) based off of the data derived from the master plan under multiple dam removal scenarios.</w:t>
            </w:r>
          </w:p>
        </w:tc>
      </w:tr>
      <w:tr w:rsidR="00B968DB" w:rsidRPr="00B968DB" w14:paraId="4CA0EA8B"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2289B63"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ADDE8ED"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E3D9C4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Shore Friendly effort proactively connects shoreline owners with science-based, non-regulatory, professional technical assistance to reverse the trends of shoreline armoring and degradation, and facilitates change towards stewardship and conservation.</w:t>
            </w:r>
          </w:p>
        </w:tc>
      </w:tr>
    </w:tbl>
    <w:p w14:paraId="02636F01" w14:textId="51E6AD40"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87" w:name="_Toc462918360"/>
      <w:r w:rsidRPr="00B968DB">
        <w:rPr>
          <w:rFonts w:ascii="Trebuchet MS" w:eastAsia="Times New Roman" w:hAnsi="Trebuchet MS" w:cs="Times New Roman"/>
          <w:b/>
          <w:bCs/>
          <w:caps/>
          <w:color w:val="003A5D"/>
          <w:sz w:val="24"/>
          <w:szCs w:val="24"/>
        </w:rPr>
        <w:t>THEORY OF CHANGE: MARINE LEVEES, FLOODGATES, TIDEGATES 3</w:t>
      </w:r>
      <w:bookmarkEnd w:id="87"/>
      <w:r w:rsidR="009735F3">
        <w:rPr>
          <w:rFonts w:ascii="Trebuchet MS" w:eastAsia="Times New Roman" w:hAnsi="Trebuchet MS" w:cs="Times New Roman"/>
          <w:b/>
          <w:bCs/>
          <w:caps/>
          <w:color w:val="003A5D"/>
          <w:sz w:val="24"/>
          <w:szCs w:val="24"/>
        </w:rPr>
        <w:t xml:space="preserve"> </w:t>
      </w:r>
    </w:p>
    <w:p w14:paraId="732F6D77"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88" w:name="_Toc462918361"/>
      <w:r w:rsidRPr="00B968DB">
        <w:rPr>
          <w:rFonts w:ascii="Trebuchet MS" w:eastAsia="Times New Roman" w:hAnsi="Trebuchet MS" w:cs="Times New Roman"/>
          <w:b/>
          <w:bCs/>
          <w:caps/>
          <w:color w:val="003A5D"/>
          <w:sz w:val="20"/>
          <w:szCs w:val="20"/>
        </w:rPr>
        <w:t>STRATEGY: IMPLEMENT LOCAL HIGH PRIORITY CAPITAL AND NON-CAPITAL HABITAT PROTECTION AND RESTORATION PROJECTS</w:t>
      </w:r>
      <w:bookmarkEnd w:id="88"/>
    </w:p>
    <w:p w14:paraId="7D875720"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Similar to 2016 Action Agenda substrategy 16.1 but is not limited to nearshore and estuaries (includes uplands/terrestrial systems).</w:t>
      </w:r>
    </w:p>
    <w:p w14:paraId="4C267237"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565F7DCE"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9F8911A"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4FE38C94"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794E69A"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77ACF3C1"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86A3C34"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E944DB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A772400"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proposed project would restore tidal processes to 275 acres of large river delta at the mouth of the Deschutes River. This phase will complete one of the final two studies needed before restoration can begin by creating an equitable funding strategy.</w:t>
            </w:r>
          </w:p>
        </w:tc>
      </w:tr>
      <w:tr w:rsidR="00B968DB" w:rsidRPr="00B968DB" w14:paraId="307CDC45"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1103890"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656B31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72278B0"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STORM and countywide partners will update a local-scale Natural Yard Care (NYC) campaign within King County that extends updated NYC and Puget Sound Starts Here (PSSH) messages, workshops, speaker training, incentives, evaluation and web site support.</w:t>
            </w:r>
          </w:p>
        </w:tc>
      </w:tr>
      <w:tr w:rsidR="00B968DB" w:rsidRPr="00B968DB" w14:paraId="52F86AD2"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11AFEDC"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3B015D0"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541A8E0"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A feasibility study for dam removal was funded by SRFB in Dec. 2015. This proposal is to acquire the dam &amp; complete a site restoration plan (final design) based off of the data derived from the master plan under multiple dam removal scenarios.</w:t>
            </w:r>
          </w:p>
        </w:tc>
      </w:tr>
      <w:tr w:rsidR="00B968DB" w:rsidRPr="00B968DB" w14:paraId="17874647"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F26E524"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2314A4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2016-0173 Nisqually Community Forest Acquisition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7FC5CF7"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Permanently protect habitat for threatened Nisqually steelhead and Chinook and to protect the recovery trajectory of Mashel sub-basin through acquisition of sensitive properties under threat of forestry practices that could result in excessive erosion.</w:t>
            </w:r>
          </w:p>
        </w:tc>
      </w:tr>
      <w:tr w:rsidR="00B968DB" w:rsidRPr="00B968DB" w14:paraId="4BFC18A8"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B9FBD67"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A31E750"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2016-0094 Henderson Inlet Habitat Protection and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783F287"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This project will acquire in fee title 105-acres of biologically-sensitive estuary, nearshore and riparian habitat along the shoreline of Henderson Inlet in Thurston County, Washington, and will restore the marine shoreline of the Harmony Farms property.</w:t>
            </w:r>
          </w:p>
        </w:tc>
      </w:tr>
      <w:tr w:rsidR="00B968DB" w:rsidRPr="00B968DB" w14:paraId="71FDBA23"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14AC94A"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D18D0B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2016-0092 Titlow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C0B8BC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Titlow NTA is a multi-faceted planning and implementation effort to remove shoreline armor and fill, restore fish passage and tidal hydrology, reclaim estuarine and emergent wetlands, and remediate effects of stormwater in Titlow Park.</w:t>
            </w:r>
          </w:p>
        </w:tc>
      </w:tr>
      <w:tr w:rsidR="00B968DB" w:rsidRPr="00B968DB" w14:paraId="6A885ECA"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DDACC0C"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DD2C199"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2016-1158 South Prairie Creek (River Miles 4.0 to 4.6) Floodplain Project Phase 1</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959F13C"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This project is a phase 1 approach restore instream habitat and channel profile and reforest 18 acres in advance of a phase 2 project to restore a half mile of side channel habitat and reconnect and replant 45 acres of floodplain on South Prairie Creek.</w:t>
            </w:r>
          </w:p>
        </w:tc>
      </w:tr>
    </w:tbl>
    <w:p w14:paraId="5860A462" w14:textId="48C7369A"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89" w:name="_Toc462918362"/>
      <w:r w:rsidRPr="00B968DB">
        <w:rPr>
          <w:rFonts w:ascii="Trebuchet MS" w:eastAsia="Times New Roman" w:hAnsi="Trebuchet MS" w:cs="Times New Roman"/>
          <w:b/>
          <w:bCs/>
          <w:caps/>
          <w:color w:val="003A5D"/>
          <w:sz w:val="24"/>
          <w:szCs w:val="24"/>
        </w:rPr>
        <w:t>THEORY OF CHANGE: MARINE SHORELINE INFRASTRUCTURE 1</w:t>
      </w:r>
      <w:bookmarkEnd w:id="89"/>
      <w:r w:rsidR="009735F3">
        <w:rPr>
          <w:rFonts w:ascii="Trebuchet MS" w:eastAsia="Times New Roman" w:hAnsi="Trebuchet MS" w:cs="Times New Roman"/>
          <w:b/>
          <w:bCs/>
          <w:caps/>
          <w:color w:val="003A5D"/>
          <w:sz w:val="24"/>
          <w:szCs w:val="24"/>
        </w:rPr>
        <w:t xml:space="preserve"> </w:t>
      </w:r>
    </w:p>
    <w:p w14:paraId="230A6DFE"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90" w:name="_Toc462918363"/>
      <w:r w:rsidRPr="00B968DB">
        <w:rPr>
          <w:rFonts w:ascii="Trebuchet MS" w:eastAsia="Times New Roman" w:hAnsi="Trebuchet MS" w:cs="Times New Roman"/>
          <w:b/>
          <w:bCs/>
          <w:caps/>
          <w:color w:val="003A5D"/>
          <w:sz w:val="20"/>
          <w:szCs w:val="20"/>
        </w:rPr>
        <w:t>STRATEGY: ENHANCE LOCAL COMPLIANCE AND ENFORCEMENT PROGRAMS</w:t>
      </w:r>
      <w:bookmarkEnd w:id="90"/>
    </w:p>
    <w:p w14:paraId="622A7134"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substrategy 9.6</w:t>
      </w:r>
    </w:p>
    <w:p w14:paraId="1145C01E" w14:textId="7DB468CD"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p>
    <w:p w14:paraId="25C0712A" w14:textId="0CEA189D" w:rsidR="00B968DB" w:rsidRPr="00B968DB" w:rsidRDefault="00B968DB" w:rsidP="005F2213">
      <w:pPr>
        <w:spacing w:after="0" w:line="240" w:lineRule="auto"/>
        <w:rPr>
          <w:rFonts w:ascii="Trebuchet MS" w:eastAsia="Times New Roman" w:hAnsi="Trebuchet MS" w:cs="Times New Roman"/>
          <w:b/>
          <w:bCs/>
          <w:caps/>
          <w:color w:val="003A5D"/>
          <w:sz w:val="24"/>
          <w:szCs w:val="24"/>
        </w:rPr>
      </w:pPr>
      <w:bookmarkStart w:id="91" w:name="_Toc462918364"/>
      <w:r w:rsidRPr="00B968DB">
        <w:rPr>
          <w:rFonts w:ascii="Trebuchet MS" w:eastAsia="Times New Roman" w:hAnsi="Trebuchet MS" w:cs="Times New Roman"/>
          <w:b/>
          <w:bCs/>
          <w:caps/>
          <w:color w:val="003A5D"/>
          <w:sz w:val="24"/>
          <w:szCs w:val="24"/>
        </w:rPr>
        <w:t>THEORY OF CHANGE: MARINE SHORELINE INFRASTRUCTURE 2</w:t>
      </w:r>
      <w:bookmarkEnd w:id="91"/>
      <w:r w:rsidR="009735F3">
        <w:rPr>
          <w:rFonts w:ascii="Trebuchet MS" w:eastAsia="Times New Roman" w:hAnsi="Trebuchet MS" w:cs="Times New Roman"/>
          <w:b/>
          <w:bCs/>
          <w:caps/>
          <w:color w:val="003A5D"/>
          <w:sz w:val="24"/>
          <w:szCs w:val="24"/>
        </w:rPr>
        <w:t xml:space="preserve"> </w:t>
      </w:r>
    </w:p>
    <w:p w14:paraId="4D84AC36"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92" w:name="_Toc462918365"/>
      <w:r w:rsidRPr="00B968DB">
        <w:rPr>
          <w:rFonts w:ascii="Trebuchet MS" w:eastAsia="Times New Roman" w:hAnsi="Trebuchet MS" w:cs="Times New Roman"/>
          <w:b/>
          <w:bCs/>
          <w:caps/>
          <w:color w:val="003A5D"/>
          <w:sz w:val="20"/>
          <w:szCs w:val="20"/>
        </w:rPr>
        <w:t>STRATEGY: ENHANCE ONGOING IMPLEMENTATION OF LOCAL SHORELINE AND LAND USE MANAGEMENT, PROTECTION, RESTORATION, INCENTIVE PROGRAMS AND PLANS</w:t>
      </w:r>
      <w:bookmarkEnd w:id="92"/>
    </w:p>
    <w:p w14:paraId="75CF8043"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strategies 2, 3, 5, 16, 17</w:t>
      </w:r>
    </w:p>
    <w:p w14:paraId="347872B7"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5CDC200A"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BD5B15F"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00249A7"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2D051BB"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29BC670F"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3C606D0"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F00119B"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0B0626B"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Focusing in agricultural lands adjacent salmon-bearing streams, this collaboration will restore riparian function while preserving farmland.</w:t>
            </w:r>
          </w:p>
        </w:tc>
      </w:tr>
      <w:tr w:rsidR="00B968DB" w:rsidRPr="00B968DB" w14:paraId="0F9037A6"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BCA692A"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F314B5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125508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proposed project would restore tidal processes to 275 acres of large river delta at the mouth of the Deschutes River. This phase will complete one of the final two studies needed before restoration can begin by creating an equitable funding strategy.</w:t>
            </w:r>
          </w:p>
        </w:tc>
      </w:tr>
      <w:tr w:rsidR="00B968DB" w:rsidRPr="00B968DB" w14:paraId="3A6DD591"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AB3898A"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4B034E2"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6E997B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STORM and countywide partners will update a local-scale Natural Yard Care (NYC) campaign within King County that extends updated NYC and Puget Sound Starts Here (PSSH) messages, workshops, speaker training, incentives, evaluation and web site support.</w:t>
            </w:r>
          </w:p>
        </w:tc>
      </w:tr>
      <w:tr w:rsidR="00B968DB" w:rsidRPr="00B968DB" w14:paraId="79B2F6A9"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2A6FB36"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B0010CB"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C91353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A feasibility study for dam removal was funded by SRFB in Dec. 2015. This proposal is to acquire the dam &amp; complete a site restoration plan (final design) based off of the data derived from the master plan under multiple dam removal scenarios.</w:t>
            </w:r>
          </w:p>
        </w:tc>
      </w:tr>
      <w:tr w:rsidR="00B968DB" w:rsidRPr="00B968DB" w14:paraId="6CAE3AC2"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1ADAB60"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E9476FD"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0A59E1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Shore Friendly effort proactively connects shoreline owners with science-based, non-regulatory, professional technical assistance to reverse the trends of shoreline armoring and degradation, and facilitates change towards stewardship and conservation.</w:t>
            </w:r>
          </w:p>
        </w:tc>
      </w:tr>
    </w:tbl>
    <w:p w14:paraId="6F6C15F3" w14:textId="3DC9F051"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93" w:name="_Toc462918366"/>
      <w:r w:rsidRPr="00B968DB">
        <w:rPr>
          <w:rFonts w:ascii="Trebuchet MS" w:eastAsia="Times New Roman" w:hAnsi="Trebuchet MS" w:cs="Times New Roman"/>
          <w:b/>
          <w:bCs/>
          <w:caps/>
          <w:color w:val="003A5D"/>
          <w:sz w:val="24"/>
          <w:szCs w:val="24"/>
        </w:rPr>
        <w:t>THEORY OF CHANGE: MARINE SHORELINE INFRASTRUCTURE 3</w:t>
      </w:r>
      <w:bookmarkEnd w:id="93"/>
      <w:r w:rsidR="009735F3">
        <w:rPr>
          <w:rFonts w:ascii="Trebuchet MS" w:eastAsia="Times New Roman" w:hAnsi="Trebuchet MS" w:cs="Times New Roman"/>
          <w:b/>
          <w:bCs/>
          <w:caps/>
          <w:color w:val="003A5D"/>
          <w:sz w:val="24"/>
          <w:szCs w:val="24"/>
        </w:rPr>
        <w:t xml:space="preserve"> </w:t>
      </w:r>
    </w:p>
    <w:p w14:paraId="44C77872"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94" w:name="_Toc462918367"/>
      <w:r w:rsidRPr="00B968DB">
        <w:rPr>
          <w:rFonts w:ascii="Trebuchet MS" w:eastAsia="Times New Roman" w:hAnsi="Trebuchet MS" w:cs="Times New Roman"/>
          <w:b/>
          <w:bCs/>
          <w:caps/>
          <w:color w:val="003A5D"/>
          <w:sz w:val="20"/>
          <w:szCs w:val="20"/>
        </w:rPr>
        <w:t>STRATEGY: ENHANCE ONGOING IMPLEMENTATION OF LOCAL SHORELINE AND LAND USE MANAGEMENT, PROTECTION, RESTORATION, INCENTIVE PROGRAMS AND PLANS</w:t>
      </w:r>
      <w:bookmarkEnd w:id="94"/>
    </w:p>
    <w:p w14:paraId="3364956A"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strategies 2, 3, 5, 16, 17</w:t>
      </w:r>
    </w:p>
    <w:p w14:paraId="34C4E1D8"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276E5B23"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018E940"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56B8DE31"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D30E282"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5FAD0A92"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FAB133F"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10E474D"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BD258F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Focusing in agricultural lands adjacent salmon-bearing streams, this collaboration will restore riparian function while preserving farmland.</w:t>
            </w:r>
          </w:p>
        </w:tc>
      </w:tr>
      <w:tr w:rsidR="00B968DB" w:rsidRPr="00B968DB" w14:paraId="50D8DEA1"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C7B7E60"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8ABDB99"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4147BA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proposed project would restore tidal processes to 275 acres of large river delta at the mouth of the Deschutes River. This phase will complete one of the final two studies needed before restoration can begin by creating an equitable funding strategy.</w:t>
            </w:r>
          </w:p>
        </w:tc>
      </w:tr>
      <w:tr w:rsidR="00B968DB" w:rsidRPr="00B968DB" w14:paraId="7EE37BB0"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AE1B768"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045E05B"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3BCD92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STORM and countywide partners will update a local-scale Natural Yard Care (NYC) campaign within King County that extends updated NYC and Puget Sound Starts Here (PSSH) messages, workshops, speaker training, incentives, evaluation and web site support.</w:t>
            </w:r>
          </w:p>
        </w:tc>
      </w:tr>
      <w:tr w:rsidR="00B968DB" w:rsidRPr="00B968DB" w14:paraId="5A11965F"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80D1CEC"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A1B920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EBDFFF7"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A feasibility study for dam removal was funded by SRFB in Dec. 2015. This proposal is to acquire the dam &amp; complete a site restoration plan (final design) based off of the data derived from the master plan under multiple dam removal scenarios.</w:t>
            </w:r>
          </w:p>
        </w:tc>
      </w:tr>
      <w:tr w:rsidR="00B968DB" w:rsidRPr="00B968DB" w14:paraId="4E0C346B"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FC2AD39"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A7C676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198CD6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Shore Friendly effort proactively connects shoreline owners with science-based, non-regulatory, professional technical assistance to reverse the trends of shoreline armoring and degradation, and facilitates change towards stewardship and conservation.</w:t>
            </w:r>
          </w:p>
        </w:tc>
      </w:tr>
    </w:tbl>
    <w:p w14:paraId="53D4C9AB" w14:textId="7D3F23B0"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95" w:name="_Toc462918368"/>
      <w:r w:rsidRPr="00B968DB">
        <w:rPr>
          <w:rFonts w:ascii="Trebuchet MS" w:eastAsia="Times New Roman" w:hAnsi="Trebuchet MS" w:cs="Times New Roman"/>
          <w:b/>
          <w:bCs/>
          <w:caps/>
          <w:color w:val="003A5D"/>
          <w:sz w:val="24"/>
          <w:szCs w:val="24"/>
        </w:rPr>
        <w:t>THEORY OF CHANGE: MARINE SHORELINE INFRASTRUCTURE 4</w:t>
      </w:r>
      <w:bookmarkEnd w:id="95"/>
      <w:r w:rsidR="009735F3">
        <w:rPr>
          <w:rFonts w:ascii="Trebuchet MS" w:eastAsia="Times New Roman" w:hAnsi="Trebuchet MS" w:cs="Times New Roman"/>
          <w:b/>
          <w:bCs/>
          <w:caps/>
          <w:color w:val="003A5D"/>
          <w:sz w:val="24"/>
          <w:szCs w:val="24"/>
        </w:rPr>
        <w:t xml:space="preserve"> </w:t>
      </w:r>
    </w:p>
    <w:p w14:paraId="10CEE713"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96" w:name="_Toc462918369"/>
      <w:r w:rsidRPr="00B968DB">
        <w:rPr>
          <w:rFonts w:ascii="Trebuchet MS" w:eastAsia="Times New Roman" w:hAnsi="Trebuchet MS" w:cs="Times New Roman"/>
          <w:b/>
          <w:bCs/>
          <w:caps/>
          <w:color w:val="003A5D"/>
          <w:sz w:val="20"/>
          <w:szCs w:val="20"/>
        </w:rPr>
        <w:t>STRATEGY: IMPLEMENT LOCAL HIGH PRIORITY CAPITAL AND NON-CAPITAL HABITAT PROTECTION AND RESTORATION PROJECTS</w:t>
      </w:r>
      <w:bookmarkEnd w:id="96"/>
    </w:p>
    <w:p w14:paraId="6C838636"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Similar to 2016 Action Agenda substrategy 16.1 but is not limited to nearshore and estuaries (includes uplands/terrestrial systems).</w:t>
      </w:r>
    </w:p>
    <w:p w14:paraId="0CC0BC4F"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22C27548"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5904CB62"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7FB60A5"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1B75EF3"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381C5D2C"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91A1F4E"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A2FA62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1056C66"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proposed project would restore tidal processes to 275 acres of large river delta at the mouth of the Deschutes River. This phase will complete one of the final two studies needed before restoration can begin by creating an equitable funding strategy.</w:t>
            </w:r>
          </w:p>
        </w:tc>
      </w:tr>
      <w:tr w:rsidR="00B968DB" w:rsidRPr="00B968DB" w14:paraId="0858912C"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32F2BD7"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3B19C31"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FC1C969"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STORM and countywide partners will update a local-scale Natural Yard Care (NYC) campaign within King County that extends updated NYC and Puget Sound Starts Here (PSSH) messages, workshops, speaker training, incentives, evaluation and web site support.</w:t>
            </w:r>
          </w:p>
        </w:tc>
      </w:tr>
      <w:tr w:rsidR="00B968DB" w:rsidRPr="00B968DB" w14:paraId="3038052C"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8C5F829"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DCE190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6A417F6"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A feasibility study for dam removal was funded by SRFB in Dec. 2015. This proposal is to acquire the dam &amp; complete a site restoration plan (final design) based off of the data derived from the master plan under multiple dam removal scenarios.</w:t>
            </w:r>
          </w:p>
        </w:tc>
      </w:tr>
      <w:tr w:rsidR="00B968DB" w:rsidRPr="00B968DB" w14:paraId="653EFCA1"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02B236D"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1FB0083"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2016-0173 Nisqually Community Forest Acquisition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54F7B6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Permanently protect habitat for threatened Nisqually steelhead and Chinook and to protect the recovery trajectory of Mashel sub-basin through acquisition of sensitive properties under threat of forestry practices that could result in excessive erosion.</w:t>
            </w:r>
          </w:p>
        </w:tc>
      </w:tr>
      <w:tr w:rsidR="00B968DB" w:rsidRPr="00B968DB" w14:paraId="095A01EB"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C6EAC3E"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CD294B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2016-0094 Henderson Inlet Habitat Protection and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5A15581"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This project will acquire in fee title 105-acres of biologically-sensitive estuary, nearshore and riparian habitat along the shoreline of Henderson Inlet in Thurston County, Washington, and will restore the marine shoreline of the Harmony Farms property.</w:t>
            </w:r>
          </w:p>
        </w:tc>
      </w:tr>
      <w:tr w:rsidR="00B968DB" w:rsidRPr="00B968DB" w14:paraId="6C11C0C1"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D0855DB"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3D2A952"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2016-0092 Titlow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3B684CE"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Titlow NTA is a multi-faceted planning and implementation effort to remove shoreline armor and fill, restore fish passage and tidal hydrology, reclaim estuarine and emergent wetlands, and remediate effects of stormwater in Titlow Park.</w:t>
            </w:r>
          </w:p>
        </w:tc>
      </w:tr>
      <w:tr w:rsidR="00B968DB" w:rsidRPr="00B968DB" w14:paraId="684A3BFE"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01C97DD"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3FAB48D"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2016-1158 South Prairie Creek (River Miles 4.0 to 4.6) Floodplain Project Phase 1</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3ED7911"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This project is a phase 1 approach restore instream habitat and channel profile and reforest 18 acres in advance of a phase 2 project to restore a half mile of side channel habitat and reconnect and replant 45 acres of floodplain on South Prairie Creek.</w:t>
            </w:r>
          </w:p>
        </w:tc>
      </w:tr>
    </w:tbl>
    <w:p w14:paraId="4384B848" w14:textId="70880C99"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97" w:name="_Toc462918370"/>
      <w:r w:rsidRPr="00B968DB">
        <w:rPr>
          <w:rFonts w:ascii="Trebuchet MS" w:eastAsia="Times New Roman" w:hAnsi="Trebuchet MS" w:cs="Times New Roman"/>
          <w:b/>
          <w:bCs/>
          <w:caps/>
          <w:color w:val="003A5D"/>
          <w:sz w:val="24"/>
          <w:szCs w:val="24"/>
        </w:rPr>
        <w:t>THEORY OF CHANGE: OSS 1</w:t>
      </w:r>
      <w:bookmarkEnd w:id="97"/>
      <w:r w:rsidR="009735F3">
        <w:rPr>
          <w:rFonts w:ascii="Trebuchet MS" w:eastAsia="Times New Roman" w:hAnsi="Trebuchet MS" w:cs="Times New Roman"/>
          <w:b/>
          <w:bCs/>
          <w:caps/>
          <w:color w:val="003A5D"/>
          <w:sz w:val="24"/>
          <w:szCs w:val="24"/>
        </w:rPr>
        <w:t xml:space="preserve"> </w:t>
      </w:r>
    </w:p>
    <w:p w14:paraId="3A0B0534"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98" w:name="_Toc462918371"/>
      <w:r w:rsidRPr="00B968DB">
        <w:rPr>
          <w:rFonts w:ascii="Trebuchet MS" w:eastAsia="Times New Roman" w:hAnsi="Trebuchet MS" w:cs="Times New Roman"/>
          <w:b/>
          <w:bCs/>
          <w:caps/>
          <w:color w:val="003A5D"/>
          <w:sz w:val="20"/>
          <w:szCs w:val="20"/>
        </w:rPr>
        <w:t>STRATEGY: COLLECT AND TREAT URBAN STORMWATER TO REDUCE POLLUTANT LOADING</w:t>
      </w:r>
      <w:bookmarkEnd w:id="98"/>
    </w:p>
    <w:p w14:paraId="53D36CBD"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strategy 10</w:t>
      </w:r>
    </w:p>
    <w:p w14:paraId="70FF681F"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2"/>
        <w:gridCol w:w="8897"/>
      </w:tblGrid>
      <w:tr w:rsidR="00B968DB" w:rsidRPr="00B968DB" w14:paraId="4106543E"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14A68D2"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EA407FE"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5D394F5"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549BC017"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ADAB52D"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365535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2016-0010 Water Quality Focused Street Sweeping Program</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13B2233"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Expand an existing limited street sweeping program to city-wide with deliberate focus on water quality to reduce pollutants released to surface waters. GIS-based analysis will direct development and implementation of sweeper operating procedures &amp; routes.</w:t>
            </w:r>
          </w:p>
        </w:tc>
      </w:tr>
    </w:tbl>
    <w:p w14:paraId="05F2DB92" w14:textId="74175F8A"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99" w:name="_Toc462918372"/>
      <w:r w:rsidRPr="00B968DB">
        <w:rPr>
          <w:rFonts w:ascii="Trebuchet MS" w:eastAsia="Times New Roman" w:hAnsi="Trebuchet MS" w:cs="Times New Roman"/>
          <w:b/>
          <w:bCs/>
          <w:caps/>
          <w:color w:val="003A5D"/>
          <w:sz w:val="24"/>
          <w:szCs w:val="24"/>
        </w:rPr>
        <w:t>THEORY OF CHANGE: OSS 2</w:t>
      </w:r>
      <w:bookmarkEnd w:id="99"/>
      <w:r w:rsidR="009735F3">
        <w:rPr>
          <w:rFonts w:ascii="Trebuchet MS" w:eastAsia="Times New Roman" w:hAnsi="Trebuchet MS" w:cs="Times New Roman"/>
          <w:b/>
          <w:bCs/>
          <w:caps/>
          <w:color w:val="003A5D"/>
          <w:sz w:val="24"/>
          <w:szCs w:val="24"/>
        </w:rPr>
        <w:t xml:space="preserve"> </w:t>
      </w:r>
    </w:p>
    <w:p w14:paraId="76E83AE5"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100" w:name="_Toc462918373"/>
      <w:r w:rsidRPr="00B968DB">
        <w:rPr>
          <w:rFonts w:ascii="Trebuchet MS" w:eastAsia="Times New Roman" w:hAnsi="Trebuchet MS" w:cs="Times New Roman"/>
          <w:b/>
          <w:bCs/>
          <w:caps/>
          <w:color w:val="003A5D"/>
          <w:sz w:val="20"/>
          <w:szCs w:val="20"/>
        </w:rPr>
        <w:t>STRATEGY: CONCENTRATE GROWTH IN URBAN GROWTH AREAS TO LIMIT THE AMOUNT OF NEW IMPERVIOUS SURFACES CREATED</w:t>
      </w:r>
      <w:bookmarkEnd w:id="100"/>
    </w:p>
    <w:p w14:paraId="46286125"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Similar to 2016 Action Agenda strategy 4</w:t>
      </w:r>
    </w:p>
    <w:p w14:paraId="1623AF52"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3"/>
        <w:gridCol w:w="8896"/>
      </w:tblGrid>
      <w:tr w:rsidR="00B968DB" w:rsidRPr="00B968DB" w14:paraId="380C05A1"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2099F53"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6321861"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ADE2A5C"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6FE02F01"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040D538"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240961F"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2016-0179 Thurston County Urban Septic to Sewer Conversion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2CBCF6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Protect shellfish growing areas through an urban septic to sewer conversion program. Conduct public outreach, develop codes, policies, and city-specific implementation plans to adopt the conversion program.</w:t>
            </w:r>
          </w:p>
        </w:tc>
      </w:tr>
    </w:tbl>
    <w:p w14:paraId="4A7C617F" w14:textId="7687B121"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101" w:name="_Toc462918374"/>
      <w:r w:rsidRPr="00B968DB">
        <w:rPr>
          <w:rFonts w:ascii="Trebuchet MS" w:eastAsia="Times New Roman" w:hAnsi="Trebuchet MS" w:cs="Times New Roman"/>
          <w:b/>
          <w:bCs/>
          <w:caps/>
          <w:color w:val="003A5D"/>
          <w:sz w:val="24"/>
          <w:szCs w:val="24"/>
        </w:rPr>
        <w:t>THEORY OF CHANGE: OSS 3</w:t>
      </w:r>
      <w:bookmarkEnd w:id="101"/>
      <w:r w:rsidR="009735F3">
        <w:rPr>
          <w:rFonts w:ascii="Trebuchet MS" w:eastAsia="Times New Roman" w:hAnsi="Trebuchet MS" w:cs="Times New Roman"/>
          <w:b/>
          <w:bCs/>
          <w:caps/>
          <w:color w:val="003A5D"/>
          <w:sz w:val="24"/>
          <w:szCs w:val="24"/>
        </w:rPr>
        <w:t xml:space="preserve"> </w:t>
      </w:r>
    </w:p>
    <w:p w14:paraId="5E5B5B09"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102" w:name="_Toc462918375"/>
      <w:r w:rsidRPr="00B968DB">
        <w:rPr>
          <w:rFonts w:ascii="Trebuchet MS" w:eastAsia="Times New Roman" w:hAnsi="Trebuchet MS" w:cs="Times New Roman"/>
          <w:b/>
          <w:bCs/>
          <w:caps/>
          <w:color w:val="003A5D"/>
          <w:sz w:val="20"/>
          <w:szCs w:val="20"/>
        </w:rPr>
        <w:t>STRATEGY: PROVIDING SUPPORT TO LAND OWNERS TO LIMIT POLLUTANT LOADS TO SURFACE WATER THROUGH BEST MANAGEMENT PRACTICES</w:t>
      </w:r>
      <w:bookmarkEnd w:id="102"/>
    </w:p>
    <w:p w14:paraId="71C051C4"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Recommended new substrategy under 2016 Action Agenda strategy 10</w:t>
      </w:r>
    </w:p>
    <w:p w14:paraId="7A0DC2D0"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lastRenderedPageBreak/>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2"/>
        <w:gridCol w:w="8897"/>
      </w:tblGrid>
      <w:tr w:rsidR="00B968DB" w:rsidRPr="00B968DB" w14:paraId="74FFF255"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CF79414"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40F8C079"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1FCA984"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4BB64595"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A00AEBA"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73BD530"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2016-0011 South Sound Shellfish Recovery</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D6E4E15"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Implement water quality closure response plans associated with Shellfish Protection Districts at Burley Lagoon, Nisqually Reach, McLane Cove, Henderson Inlet, and Filucy, Rocky, Vaughn and Oakland Bays.</w:t>
            </w:r>
          </w:p>
        </w:tc>
      </w:tr>
    </w:tbl>
    <w:p w14:paraId="2F4F8F46" w14:textId="27C66286" w:rsidR="00B968DB" w:rsidRPr="00B968DB" w:rsidRDefault="00B968DB" w:rsidP="005F2213">
      <w:pPr>
        <w:spacing w:after="0" w:line="240" w:lineRule="auto"/>
        <w:rPr>
          <w:rFonts w:ascii="Trebuchet MS" w:eastAsia="Times New Roman" w:hAnsi="Trebuchet MS" w:cs="Times New Roman"/>
          <w:b/>
          <w:bCs/>
          <w:caps/>
          <w:color w:val="003A5D"/>
          <w:sz w:val="24"/>
          <w:szCs w:val="24"/>
        </w:rPr>
      </w:pPr>
      <w:r w:rsidRPr="00B968DB">
        <w:rPr>
          <w:rFonts w:ascii="Arial" w:eastAsia="Times New Roman" w:hAnsi="Arial" w:cs="Arial"/>
          <w:color w:val="000000"/>
          <w:sz w:val="27"/>
          <w:szCs w:val="27"/>
        </w:rPr>
        <w:br/>
      </w:r>
      <w:bookmarkStart w:id="103" w:name="_Toc462918376"/>
      <w:r w:rsidRPr="00B968DB">
        <w:rPr>
          <w:rFonts w:ascii="Trebuchet MS" w:eastAsia="Times New Roman" w:hAnsi="Trebuchet MS" w:cs="Times New Roman"/>
          <w:b/>
          <w:bCs/>
          <w:caps/>
          <w:color w:val="003A5D"/>
          <w:sz w:val="24"/>
          <w:szCs w:val="24"/>
        </w:rPr>
        <w:t>THEORY OF CHANGE: RUNOFF 1</w:t>
      </w:r>
      <w:bookmarkEnd w:id="103"/>
      <w:r w:rsidR="009735F3">
        <w:rPr>
          <w:rFonts w:ascii="Trebuchet MS" w:eastAsia="Times New Roman" w:hAnsi="Trebuchet MS" w:cs="Times New Roman"/>
          <w:b/>
          <w:bCs/>
          <w:caps/>
          <w:color w:val="003A5D"/>
          <w:sz w:val="24"/>
          <w:szCs w:val="24"/>
        </w:rPr>
        <w:t xml:space="preserve"> </w:t>
      </w:r>
    </w:p>
    <w:p w14:paraId="7A610370"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104" w:name="_Toc462918377"/>
      <w:r w:rsidRPr="00B968DB">
        <w:rPr>
          <w:rFonts w:ascii="Trebuchet MS" w:eastAsia="Times New Roman" w:hAnsi="Trebuchet MS" w:cs="Times New Roman"/>
          <w:b/>
          <w:bCs/>
          <w:caps/>
          <w:color w:val="003A5D"/>
          <w:sz w:val="20"/>
          <w:szCs w:val="20"/>
        </w:rPr>
        <w:t>STRATEGY: ENHANCE LOCAL COMMUNICATION, EDUCATION, BEHAVIOR CHANGE AND PUBLIC INVOLVEMENT PROGRAMS</w:t>
      </w:r>
      <w:bookmarkEnd w:id="104"/>
    </w:p>
    <w:p w14:paraId="76CDCCEE"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Strategy 27 and 2016 Action Agenda Strategy 28</w:t>
      </w:r>
    </w:p>
    <w:p w14:paraId="503BC05E" w14:textId="77777777"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r w:rsidRPr="00B968DB">
        <w:rPr>
          <w:rFonts w:ascii="Trebuchet MS" w:eastAsia="Times New Roman" w:hAnsi="Trebuchet MS" w:cs="Times New Roman"/>
          <w:b/>
          <w:bCs/>
          <w:i/>
          <w:iCs/>
          <w:color w:val="003A5D"/>
          <w:sz w:val="18"/>
          <w:szCs w:val="18"/>
        </w:rPr>
        <w:t>Actions</w:t>
      </w:r>
    </w:p>
    <w:tbl>
      <w:tblPr>
        <w:tblW w:w="0" w:type="auto"/>
        <w:tblCellMar>
          <w:top w:w="15" w:type="dxa"/>
          <w:left w:w="15" w:type="dxa"/>
          <w:bottom w:w="15" w:type="dxa"/>
          <w:right w:w="15" w:type="dxa"/>
        </w:tblCellMar>
        <w:tblLook w:val="04A0" w:firstRow="1" w:lastRow="0" w:firstColumn="1" w:lastColumn="0" w:noHBand="0" w:noVBand="1"/>
      </w:tblPr>
      <w:tblGrid>
        <w:gridCol w:w="335"/>
        <w:gridCol w:w="3715"/>
        <w:gridCol w:w="8894"/>
      </w:tblGrid>
      <w:tr w:rsidR="00B968DB" w:rsidRPr="00B968DB" w14:paraId="1ED58AB2" w14:textId="77777777" w:rsidTr="00B968DB">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F4FC45F"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522D2B68"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NEAR TERM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9E705C8" w14:textId="77777777" w:rsidR="00B968DB" w:rsidRPr="00B968DB" w:rsidRDefault="00B968DB" w:rsidP="00B968DB">
            <w:pPr>
              <w:spacing w:after="0" w:line="240" w:lineRule="atLeast"/>
              <w:jc w:val="center"/>
              <w:rPr>
                <w:rFonts w:ascii="Trebuchet MS" w:eastAsia="Times New Roman" w:hAnsi="Trebuchet MS" w:cs="Times New Roman"/>
                <w:b/>
                <w:bCs/>
                <w:caps/>
                <w:color w:val="FFFFFF"/>
                <w:sz w:val="20"/>
                <w:szCs w:val="20"/>
              </w:rPr>
            </w:pPr>
            <w:r w:rsidRPr="00B968DB">
              <w:rPr>
                <w:rFonts w:ascii="Trebuchet MS" w:eastAsia="Times New Roman" w:hAnsi="Trebuchet MS" w:cs="Times New Roman"/>
                <w:b/>
                <w:bCs/>
                <w:caps/>
                <w:color w:val="FFFFFF"/>
                <w:sz w:val="20"/>
                <w:szCs w:val="20"/>
              </w:rPr>
              <w:t>DESCRIPTION</w:t>
            </w:r>
          </w:p>
        </w:tc>
      </w:tr>
      <w:tr w:rsidR="00B968DB" w:rsidRPr="00B968DB" w14:paraId="46F076BF"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1369B9F" w14:textId="77777777" w:rsidR="00B968DB" w:rsidRPr="00B968DB" w:rsidRDefault="00B968DB" w:rsidP="00B968DB">
            <w:pPr>
              <w:spacing w:after="0" w:line="240" w:lineRule="auto"/>
              <w:rPr>
                <w:rFonts w:ascii="Trebuchet MS" w:eastAsia="Times New Roman" w:hAnsi="Trebuchet MS" w:cs="Times New Roman"/>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6FCC4C8"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A15F1F7"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Focusing in agricultural lands adjacent salmon-bearing streams, this collaboration will restore riparian function while preserving farmland.</w:t>
            </w:r>
          </w:p>
        </w:tc>
      </w:tr>
      <w:tr w:rsidR="00B968DB" w:rsidRPr="00B968DB" w14:paraId="042E9B42"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2084FA9"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3E4CACD"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B451474"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The Shore Friendly effort proactively connects shoreline owners with science-based, non-regulatory, professional technical assistance to reverse the trends of shoreline armoring and degradation, and facilitates change towards stewardship and conservation.</w:t>
            </w:r>
          </w:p>
        </w:tc>
      </w:tr>
      <w:tr w:rsidR="00B968DB" w:rsidRPr="00B968DB" w14:paraId="315B01EE" w14:textId="77777777" w:rsidTr="00B968DB">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B06E2C9" w14:textId="77777777" w:rsidR="00B968DB" w:rsidRPr="00B968DB" w:rsidRDefault="00B968DB" w:rsidP="00B968DB">
            <w:pPr>
              <w:spacing w:after="0" w:line="240" w:lineRule="auto"/>
              <w:rPr>
                <w:rFonts w:ascii="Arial" w:eastAsia="Times New Roman" w:hAnsi="Arial" w:cs="Arial"/>
                <w:sz w:val="18"/>
                <w:szCs w:val="18"/>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236E827"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2016-0170 K–12 Field Investigation Program</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F74DD50" w14:textId="77777777" w:rsidR="00B968DB" w:rsidRPr="00B968DB" w:rsidRDefault="00B968DB" w:rsidP="00B968DB">
            <w:pPr>
              <w:spacing w:after="0" w:line="240" w:lineRule="atLeast"/>
              <w:rPr>
                <w:rFonts w:ascii="Arial" w:eastAsia="Times New Roman" w:hAnsi="Arial" w:cs="Arial"/>
                <w:sz w:val="18"/>
                <w:szCs w:val="18"/>
              </w:rPr>
            </w:pPr>
            <w:r w:rsidRPr="00B968DB">
              <w:rPr>
                <w:rFonts w:ascii="Arial" w:eastAsia="Times New Roman" w:hAnsi="Arial" w:cs="Arial"/>
                <w:sz w:val="18"/>
                <w:szCs w:val="18"/>
              </w:rPr>
              <w:t>K-12 Stormwater Field Investigation Program coordinates local partners to provide reliable field sites for place-based curricula with Mason County schools.</w:t>
            </w:r>
          </w:p>
        </w:tc>
      </w:tr>
    </w:tbl>
    <w:p w14:paraId="0B65E653" w14:textId="64B1102D" w:rsidR="00B968DB" w:rsidRPr="00B968DB" w:rsidRDefault="00B968DB" w:rsidP="00B968DB">
      <w:pPr>
        <w:spacing w:after="0" w:line="240" w:lineRule="auto"/>
        <w:rPr>
          <w:rFonts w:ascii="Times New Roman" w:eastAsia="Times New Roman" w:hAnsi="Times New Roman" w:cs="Times New Roman"/>
          <w:sz w:val="24"/>
          <w:szCs w:val="24"/>
        </w:rPr>
      </w:pPr>
    </w:p>
    <w:p w14:paraId="5F41AFFA" w14:textId="757F1758" w:rsidR="00B968DB" w:rsidRPr="00B968DB" w:rsidRDefault="00B968DB" w:rsidP="00B968DB">
      <w:pPr>
        <w:spacing w:before="300" w:after="150" w:line="240" w:lineRule="auto"/>
        <w:outlineLvl w:val="1"/>
        <w:rPr>
          <w:rFonts w:ascii="Trebuchet MS" w:eastAsia="Times New Roman" w:hAnsi="Trebuchet MS" w:cs="Times New Roman"/>
          <w:b/>
          <w:bCs/>
          <w:caps/>
          <w:color w:val="003A5D"/>
          <w:sz w:val="24"/>
          <w:szCs w:val="24"/>
        </w:rPr>
      </w:pPr>
      <w:bookmarkStart w:id="105" w:name="_Toc462918378"/>
      <w:r w:rsidRPr="00B968DB">
        <w:rPr>
          <w:rFonts w:ascii="Trebuchet MS" w:eastAsia="Times New Roman" w:hAnsi="Trebuchet MS" w:cs="Times New Roman"/>
          <w:b/>
          <w:bCs/>
          <w:caps/>
          <w:color w:val="003A5D"/>
          <w:sz w:val="24"/>
          <w:szCs w:val="24"/>
        </w:rPr>
        <w:t>THEORY OF CHANGE: RUNOFF 2</w:t>
      </w:r>
      <w:bookmarkEnd w:id="105"/>
      <w:r w:rsidR="009735F3">
        <w:rPr>
          <w:rFonts w:ascii="Trebuchet MS" w:eastAsia="Times New Roman" w:hAnsi="Trebuchet MS" w:cs="Times New Roman"/>
          <w:b/>
          <w:bCs/>
          <w:caps/>
          <w:color w:val="003A5D"/>
          <w:sz w:val="24"/>
          <w:szCs w:val="24"/>
        </w:rPr>
        <w:t xml:space="preserve"> </w:t>
      </w:r>
    </w:p>
    <w:p w14:paraId="529EC7B0"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106" w:name="_Toc462918379"/>
      <w:r w:rsidRPr="00B968DB">
        <w:rPr>
          <w:rFonts w:ascii="Trebuchet MS" w:eastAsia="Times New Roman" w:hAnsi="Trebuchet MS" w:cs="Times New Roman"/>
          <w:b/>
          <w:bCs/>
          <w:caps/>
          <w:color w:val="003A5D"/>
          <w:sz w:val="20"/>
          <w:szCs w:val="20"/>
        </w:rPr>
        <w:t>STRATEGY: IMPLEMENT A COORDINATED AND INTEGRATED LOCAL MONITORING PROGRAM</w:t>
      </w:r>
      <w:bookmarkEnd w:id="106"/>
    </w:p>
    <w:p w14:paraId="305F975C"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Substrategy 25.2</w:t>
      </w:r>
    </w:p>
    <w:p w14:paraId="5E3E77E4" w14:textId="1FD412B2"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p>
    <w:p w14:paraId="456EFFA9" w14:textId="4EDF0811" w:rsidR="00B968DB" w:rsidRPr="00B968DB" w:rsidRDefault="00B968DB" w:rsidP="005F2213">
      <w:pPr>
        <w:spacing w:after="0" w:line="240" w:lineRule="auto"/>
        <w:rPr>
          <w:rFonts w:ascii="Trebuchet MS" w:eastAsia="Times New Roman" w:hAnsi="Trebuchet MS" w:cs="Times New Roman"/>
          <w:b/>
          <w:bCs/>
          <w:caps/>
          <w:color w:val="003A5D"/>
          <w:sz w:val="24"/>
          <w:szCs w:val="24"/>
        </w:rPr>
      </w:pPr>
      <w:bookmarkStart w:id="107" w:name="_Toc462918380"/>
      <w:r w:rsidRPr="00B968DB">
        <w:rPr>
          <w:rFonts w:ascii="Trebuchet MS" w:eastAsia="Times New Roman" w:hAnsi="Trebuchet MS" w:cs="Times New Roman"/>
          <w:b/>
          <w:bCs/>
          <w:caps/>
          <w:color w:val="003A5D"/>
          <w:sz w:val="24"/>
          <w:szCs w:val="24"/>
        </w:rPr>
        <w:t>THEORY OF CHANGE: RUNOFF 3</w:t>
      </w:r>
      <w:bookmarkEnd w:id="107"/>
    </w:p>
    <w:p w14:paraId="595367BF"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108" w:name="_Toc462918381"/>
      <w:r w:rsidRPr="00B968DB">
        <w:rPr>
          <w:rFonts w:ascii="Trebuchet MS" w:eastAsia="Times New Roman" w:hAnsi="Trebuchet MS" w:cs="Times New Roman"/>
          <w:b/>
          <w:bCs/>
          <w:caps/>
          <w:color w:val="003A5D"/>
          <w:sz w:val="20"/>
          <w:szCs w:val="20"/>
        </w:rPr>
        <w:t>STRATEGY: ENHANCE LOCAL COMPLIANCE AND ENFORCEMENT PROGRAMS</w:t>
      </w:r>
      <w:bookmarkEnd w:id="108"/>
    </w:p>
    <w:p w14:paraId="6FBFDEFA"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Consistent with 2016 Action Agenda substrategy 9.6</w:t>
      </w:r>
    </w:p>
    <w:p w14:paraId="2EDA1FCC" w14:textId="212547F0"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p>
    <w:p w14:paraId="232CB350" w14:textId="77777777" w:rsidR="00B968DB" w:rsidRPr="00B968DB" w:rsidRDefault="00B968DB" w:rsidP="00B968DB">
      <w:pPr>
        <w:spacing w:after="0" w:line="240" w:lineRule="auto"/>
        <w:rPr>
          <w:rFonts w:ascii="Times New Roman" w:eastAsia="Times New Roman" w:hAnsi="Times New Roman" w:cs="Times New Roman"/>
          <w:sz w:val="24"/>
          <w:szCs w:val="24"/>
        </w:rPr>
      </w:pPr>
      <w:r w:rsidRPr="00B968DB">
        <w:rPr>
          <w:rFonts w:ascii="Arial" w:eastAsia="Times New Roman" w:hAnsi="Arial" w:cs="Arial"/>
          <w:color w:val="000000"/>
          <w:sz w:val="27"/>
          <w:szCs w:val="27"/>
        </w:rPr>
        <w:lastRenderedPageBreak/>
        <w:br/>
      </w:r>
    </w:p>
    <w:p w14:paraId="04E7CCD2" w14:textId="3C3D44F0" w:rsidR="00B968DB" w:rsidRPr="00B968DB" w:rsidRDefault="00B968DB" w:rsidP="00B968DB">
      <w:pPr>
        <w:spacing w:before="300" w:after="150" w:line="240" w:lineRule="auto"/>
        <w:outlineLvl w:val="1"/>
        <w:rPr>
          <w:rFonts w:ascii="Trebuchet MS" w:eastAsia="Times New Roman" w:hAnsi="Trebuchet MS" w:cs="Times New Roman"/>
          <w:b/>
          <w:bCs/>
          <w:caps/>
          <w:color w:val="003A5D"/>
          <w:sz w:val="24"/>
          <w:szCs w:val="24"/>
        </w:rPr>
      </w:pPr>
      <w:bookmarkStart w:id="109" w:name="_Toc462918382"/>
      <w:r w:rsidRPr="00B968DB">
        <w:rPr>
          <w:rFonts w:ascii="Trebuchet MS" w:eastAsia="Times New Roman" w:hAnsi="Trebuchet MS" w:cs="Times New Roman"/>
          <w:b/>
          <w:bCs/>
          <w:caps/>
          <w:color w:val="003A5D"/>
          <w:sz w:val="24"/>
          <w:szCs w:val="24"/>
        </w:rPr>
        <w:t>THEORY OF CHANGE: RUNOFF 4</w:t>
      </w:r>
      <w:bookmarkEnd w:id="109"/>
      <w:r w:rsidR="009735F3">
        <w:rPr>
          <w:rFonts w:ascii="Trebuchet MS" w:eastAsia="Times New Roman" w:hAnsi="Trebuchet MS" w:cs="Times New Roman"/>
          <w:b/>
          <w:bCs/>
          <w:caps/>
          <w:color w:val="003A5D"/>
          <w:sz w:val="24"/>
          <w:szCs w:val="24"/>
        </w:rPr>
        <w:t xml:space="preserve"> </w:t>
      </w:r>
    </w:p>
    <w:p w14:paraId="3A58032D" w14:textId="77777777" w:rsidR="00B968DB" w:rsidRPr="00B968DB" w:rsidRDefault="00B968DB" w:rsidP="00B968DB">
      <w:pPr>
        <w:spacing w:before="75" w:after="75" w:line="240" w:lineRule="auto"/>
        <w:outlineLvl w:val="2"/>
        <w:rPr>
          <w:rFonts w:ascii="Trebuchet MS" w:eastAsia="Times New Roman" w:hAnsi="Trebuchet MS" w:cs="Times New Roman"/>
          <w:b/>
          <w:bCs/>
          <w:caps/>
          <w:color w:val="003A5D"/>
          <w:sz w:val="20"/>
          <w:szCs w:val="20"/>
        </w:rPr>
      </w:pPr>
      <w:bookmarkStart w:id="110" w:name="_Toc462918383"/>
      <w:r w:rsidRPr="00B968DB">
        <w:rPr>
          <w:rFonts w:ascii="Trebuchet MS" w:eastAsia="Times New Roman" w:hAnsi="Trebuchet MS" w:cs="Times New Roman"/>
          <w:b/>
          <w:bCs/>
          <w:caps/>
          <w:color w:val="003A5D"/>
          <w:sz w:val="20"/>
          <w:szCs w:val="20"/>
        </w:rPr>
        <w:t>STRATEGY: IMPLEMENT LOCAL STORMWATER MANAGEMENT PROGRAMS USING A WATERSHED MANAGEMENT APPROACH</w:t>
      </w:r>
      <w:bookmarkEnd w:id="110"/>
    </w:p>
    <w:p w14:paraId="5D7E9AE1" w14:textId="77777777" w:rsidR="00B968DB" w:rsidRPr="00B968DB" w:rsidRDefault="00B968DB" w:rsidP="00B968DB">
      <w:pPr>
        <w:spacing w:after="0" w:line="240" w:lineRule="auto"/>
        <w:rPr>
          <w:rFonts w:ascii="Arial" w:eastAsia="Times New Roman" w:hAnsi="Arial" w:cs="Arial"/>
          <w:color w:val="000000"/>
          <w:sz w:val="20"/>
          <w:szCs w:val="20"/>
        </w:rPr>
      </w:pPr>
      <w:r w:rsidRPr="00B968DB">
        <w:rPr>
          <w:rFonts w:ascii="Arial" w:eastAsia="Times New Roman" w:hAnsi="Arial" w:cs="Arial"/>
          <w:color w:val="000000"/>
          <w:sz w:val="20"/>
          <w:szCs w:val="20"/>
        </w:rPr>
        <w:t>Similar to 2016 Action Agenda substrategy 10.1</w:t>
      </w:r>
    </w:p>
    <w:p w14:paraId="5D089928" w14:textId="7AAF3884" w:rsidR="00B968DB" w:rsidRPr="00B968DB" w:rsidRDefault="00B968DB" w:rsidP="00B968DB">
      <w:pPr>
        <w:spacing w:before="75" w:after="75" w:line="240" w:lineRule="auto"/>
        <w:outlineLvl w:val="3"/>
        <w:rPr>
          <w:rFonts w:ascii="Trebuchet MS" w:eastAsia="Times New Roman" w:hAnsi="Trebuchet MS" w:cs="Times New Roman"/>
          <w:b/>
          <w:bCs/>
          <w:i/>
          <w:iCs/>
          <w:color w:val="003A5D"/>
          <w:sz w:val="18"/>
          <w:szCs w:val="18"/>
        </w:rPr>
      </w:pPr>
    </w:p>
    <w:p w14:paraId="3481BA14" w14:textId="2F1814EB" w:rsidR="00B968DB" w:rsidRDefault="00B968DB" w:rsidP="00B968DB">
      <w:pPr>
        <w:spacing w:after="0" w:line="240" w:lineRule="auto"/>
        <w:rPr>
          <w:rFonts w:ascii="Times New Roman" w:eastAsia="Times New Roman" w:hAnsi="Times New Roman" w:cs="Times New Roman"/>
          <w:sz w:val="24"/>
          <w:szCs w:val="24"/>
        </w:rPr>
      </w:pPr>
    </w:p>
    <w:p w14:paraId="550814A0" w14:textId="77777777" w:rsidR="000F03D3" w:rsidRPr="000F03D3" w:rsidRDefault="000F03D3" w:rsidP="000F03D3">
      <w:pPr>
        <w:pBdr>
          <w:bottom w:val="single" w:sz="12" w:space="0" w:color="003A5D"/>
        </w:pBdr>
        <w:spacing w:before="150" w:after="150" w:line="240" w:lineRule="auto"/>
        <w:outlineLvl w:val="0"/>
        <w:rPr>
          <w:rFonts w:ascii="Trebuchet MS" w:eastAsia="Times New Roman" w:hAnsi="Trebuchet MS" w:cs="Times New Roman"/>
          <w:b/>
          <w:bCs/>
          <w:caps/>
          <w:color w:val="003A5D"/>
          <w:kern w:val="36"/>
          <w:sz w:val="28"/>
          <w:szCs w:val="28"/>
        </w:rPr>
      </w:pPr>
      <w:bookmarkStart w:id="111" w:name="_gjdgxs"/>
      <w:bookmarkEnd w:id="111"/>
      <w:r w:rsidRPr="000F03D3">
        <w:rPr>
          <w:rFonts w:ascii="Trebuchet MS" w:eastAsia="Times New Roman" w:hAnsi="Trebuchet MS" w:cs="Times New Roman"/>
          <w:b/>
          <w:bCs/>
          <w:caps/>
          <w:color w:val="003A5D"/>
          <w:kern w:val="36"/>
          <w:sz w:val="28"/>
          <w:szCs w:val="28"/>
        </w:rPr>
        <w:t>Adaptive Management</w:t>
      </w:r>
    </w:p>
    <w:p w14:paraId="320C1472" w14:textId="5B88FC70" w:rsidR="000F03D3" w:rsidRPr="000F03D3" w:rsidRDefault="000F03D3" w:rsidP="000F03D3">
      <w:pPr>
        <w:rPr>
          <w:rFonts w:ascii="Arial" w:eastAsia="Calibri" w:hAnsi="Arial" w:cs="Arial"/>
          <w:sz w:val="20"/>
          <w:szCs w:val="20"/>
        </w:rPr>
      </w:pPr>
      <w:r w:rsidRPr="000F03D3">
        <w:rPr>
          <w:rFonts w:ascii="Arial" w:hAnsi="Arial" w:cs="Arial"/>
          <w:sz w:val="20"/>
          <w:szCs w:val="20"/>
        </w:rPr>
        <w:t>Adaptive management is a process of paying attention to results and experiences of implementation over time, considering new and emerging information, and making changes to adjust and evolve strategies and actions to continuously improve performance and results.</w:t>
      </w:r>
    </w:p>
    <w:p w14:paraId="046047F3" w14:textId="1A9941DF" w:rsidR="000F03D3" w:rsidRPr="000F03D3" w:rsidRDefault="000F03D3" w:rsidP="000F03D3">
      <w:pPr>
        <w:rPr>
          <w:rFonts w:ascii="Arial" w:hAnsi="Arial" w:cs="Arial"/>
          <w:sz w:val="20"/>
          <w:szCs w:val="20"/>
        </w:rPr>
      </w:pPr>
      <w:r w:rsidRPr="000F03D3">
        <w:rPr>
          <w:rFonts w:ascii="Arial" w:hAnsi="Arial" w:cs="Arial"/>
          <w:sz w:val="20"/>
          <w:szCs w:val="20"/>
        </w:rPr>
        <w:t xml:space="preserve">The South Sound Strategy is the first comprehensive attempt to develop a rigorous, science-based approach to ecosystem management in and around South Sound. As such there is no previous adaptive management process within the South Sound LIO; the following information is a description of the Alliance’s approach to adaptively managing the South Sound Strategy in the future. The AHSS adaptive management approach follows the </w:t>
      </w:r>
      <w:r w:rsidRPr="000F03D3">
        <w:rPr>
          <w:rFonts w:ascii="Arial" w:hAnsi="Arial" w:cs="Arial"/>
          <w:i/>
          <w:sz w:val="20"/>
          <w:szCs w:val="20"/>
        </w:rPr>
        <w:t xml:space="preserve">Conservation Measures Partnership (CMP) </w:t>
      </w:r>
      <w:r w:rsidRPr="000F03D3">
        <w:rPr>
          <w:rFonts w:ascii="Arial" w:hAnsi="Arial" w:cs="Arial"/>
          <w:sz w:val="20"/>
          <w:szCs w:val="20"/>
        </w:rPr>
        <w:t xml:space="preserve">Cycle (Figure 1). </w:t>
      </w:r>
    </w:p>
    <w:p w14:paraId="7CB4F1E4" w14:textId="60F54BBC" w:rsidR="000F03D3" w:rsidRPr="000F03D3" w:rsidRDefault="000F03D3" w:rsidP="000F03D3">
      <w:pPr>
        <w:rPr>
          <w:rFonts w:ascii="Arial" w:hAnsi="Arial" w:cs="Arial"/>
          <w:sz w:val="20"/>
          <w:szCs w:val="20"/>
        </w:rPr>
      </w:pPr>
    </w:p>
    <w:p w14:paraId="44B0B602" w14:textId="5228BAB6" w:rsidR="000F03D3" w:rsidRPr="000F03D3" w:rsidRDefault="000F03D3" w:rsidP="000F03D3">
      <w:pPr>
        <w:rPr>
          <w:rFonts w:ascii="Arial" w:hAnsi="Arial" w:cs="Arial"/>
          <w:sz w:val="20"/>
          <w:szCs w:val="20"/>
        </w:rPr>
      </w:pPr>
      <w:r w:rsidRPr="000F03D3">
        <w:rPr>
          <w:rFonts w:ascii="Arial" w:hAnsi="Arial" w:cs="Arial"/>
          <w:noProof/>
          <w:sz w:val="20"/>
          <w:szCs w:val="20"/>
        </w:rPr>
        <w:lastRenderedPageBreak/>
        <w:drawing>
          <wp:anchor distT="0" distB="0" distL="114300" distR="114300" simplePos="0" relativeHeight="251666432" behindDoc="0" locked="0" layoutInCell="0" allowOverlap="1" wp14:anchorId="568E634D" wp14:editId="486F3FEB">
            <wp:simplePos x="0" y="0"/>
            <wp:positionH relativeFrom="margin">
              <wp:align>right</wp:align>
            </wp:positionH>
            <wp:positionV relativeFrom="paragraph">
              <wp:posOffset>361315</wp:posOffset>
            </wp:positionV>
            <wp:extent cx="2834640" cy="2619375"/>
            <wp:effectExtent l="0" t="0" r="3810" b="9525"/>
            <wp:wrapSquare wrapText="bothSides"/>
            <wp:docPr id="20" name="Picture 20" descr="CMP_Cycle_-_2008-0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1.jpg" descr="CMP_Cycle_-_2008-02-20"/>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834640" cy="2619375"/>
                    </a:xfrm>
                    <a:prstGeom prst="rect">
                      <a:avLst/>
                    </a:prstGeom>
                    <a:noFill/>
                  </pic:spPr>
                </pic:pic>
              </a:graphicData>
            </a:graphic>
            <wp14:sizeRelH relativeFrom="page">
              <wp14:pctWidth>0</wp14:pctWidth>
            </wp14:sizeRelH>
            <wp14:sizeRelV relativeFrom="page">
              <wp14:pctHeight>0</wp14:pctHeight>
            </wp14:sizeRelV>
          </wp:anchor>
        </w:drawing>
      </w:r>
      <w:r w:rsidRPr="000F03D3">
        <w:rPr>
          <w:rFonts w:ascii="Arial" w:hAnsi="Arial" w:cs="Arial"/>
          <w:noProof/>
          <w:sz w:val="20"/>
          <w:szCs w:val="20"/>
        </w:rPr>
        <mc:AlternateContent>
          <mc:Choice Requires="wps">
            <w:drawing>
              <wp:anchor distT="0" distB="0" distL="114300" distR="114300" simplePos="0" relativeHeight="251665408" behindDoc="1" locked="0" layoutInCell="0" allowOverlap="1" wp14:anchorId="31EFC612" wp14:editId="28CB65E4">
                <wp:simplePos x="0" y="0"/>
                <wp:positionH relativeFrom="margin">
                  <wp:align>right</wp:align>
                </wp:positionH>
                <wp:positionV relativeFrom="paragraph">
                  <wp:posOffset>0</wp:posOffset>
                </wp:positionV>
                <wp:extent cx="2832100" cy="330200"/>
                <wp:effectExtent l="0" t="0" r="6350" b="0"/>
                <wp:wrapSquare wrapText="bothSides"/>
                <wp:docPr id="21" name="Rectangle 21"/>
                <wp:cNvGraphicFramePr/>
                <a:graphic xmlns:a="http://schemas.openxmlformats.org/drawingml/2006/main">
                  <a:graphicData uri="http://schemas.microsoft.com/office/word/2010/wordprocessingShape">
                    <wps:wsp>
                      <wps:cNvSpPr/>
                      <wps:spPr>
                        <a:xfrm>
                          <a:off x="0" y="0"/>
                          <a:ext cx="2832100" cy="330200"/>
                        </a:xfrm>
                        <a:prstGeom prst="rect">
                          <a:avLst/>
                        </a:prstGeom>
                        <a:solidFill>
                          <a:srgbClr val="FFFFFF"/>
                        </a:solidFill>
                        <a:ln>
                          <a:noFill/>
                        </a:ln>
                      </wps:spPr>
                      <wps:txbx>
                        <w:txbxContent>
                          <w:p w14:paraId="02B3D9B7" w14:textId="463B80F4" w:rsidR="00B90508" w:rsidRDefault="00B90508" w:rsidP="000F03D3">
                            <w:pPr>
                              <w:spacing w:line="240" w:lineRule="auto"/>
                            </w:pPr>
                            <w:r>
                              <w:rPr>
                                <w:i/>
                                <w:sz w:val="18"/>
                              </w:rPr>
                              <w:t>Figure 1: Adaptive Management Cycle from Conservation Measures Partnership</w:t>
                            </w:r>
                          </w:p>
                          <w:p w14:paraId="48B3E90B" w14:textId="77777777" w:rsidR="00B90508" w:rsidRDefault="00B90508" w:rsidP="000F03D3"/>
                        </w:txbxContent>
                      </wps:txbx>
                      <wps:bodyPr lIns="0" tIns="0" rIns="0" bIns="0" anchor="t" anchorCtr="0"/>
                    </wps:wsp>
                  </a:graphicData>
                </a:graphic>
                <wp14:sizeRelH relativeFrom="page">
                  <wp14:pctWidth>0</wp14:pctWidth>
                </wp14:sizeRelH>
                <wp14:sizeRelV relativeFrom="page">
                  <wp14:pctHeight>0</wp14:pctHeight>
                </wp14:sizeRelV>
              </wp:anchor>
            </w:drawing>
          </mc:Choice>
          <mc:Fallback>
            <w:pict>
              <v:rect w14:anchorId="31EFC612" id="Rectangle 21" o:spid="_x0000_s1029" style="position:absolute;margin-left:171.8pt;margin-top:0;width:223pt;height:26pt;z-index:-25165107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It8krQEAAFkDAAAOAAAAZHJzL2Uyb0RvYy54bWysU9tu2zAMfR+wfxD0vshxgKEw4vShRYoC&#10;xVa02wfIsmQL0A2UGjt/X0qO013ehvlBJinqUOeQ2t/O1pCThKi9a+l2U1EinfC9dkNLf/44frmh&#10;JCbuem68ky09y0hvD58/7afQyNqP3vQSCIK42EyhpWNKoWEsilFaHjc+SIebyoPlCV0YWA98QnRr&#10;WF1VX9nkoQ/ghYwRo/fLJj0UfKWkSN+VijIR01K8WyorlLXLKzvseTMAD6MWl2vwf7iF5dph0SvU&#10;PU+cvIH+C8pqAT56lTbCW+aV0kIWDshmW/3B5nXkQRYuKE4MV5ni/4MV307PQHTf0npLieMWe/SC&#10;qnE3GEkwhgJNITaY9xqe4eJFNDPbWYHNf+RB5iLq+SqqnBMRGKxvdvW2Qu0F7u12FXYtg7KP0wFi&#10;epDekmy0FLB80ZKfnmJaUteUXCx6o/ujNqY4MHR3BsiJY4OP5bug/5ZmXE52Ph9bEHOEZWYLl2yl&#10;uZuLFLuVdef7M8pjHh1KnsdnNWA1utXgToweBytRsph3qYxZrpbBsX+F9GXW8oD86pesjxdxeAcA&#10;AP//AwBQSwMEFAAGAAgAAAAhAF6qaXTYAAAABAEAAA8AAABkcnMvZG93bnJldi54bWxMj81OwzAQ&#10;hO9IvIO1SNyo06pUKMSpED/qmQDiuo2XOGCvo9hpA0/PwgUuI41mNfNttZ2DVwcaUx/ZwHJRgCJu&#10;o+25M/D89HBxBSplZIs+Mhn4pATb+vSkwtLGIz/SocmdkhJOJRpwOQ+l1ql1FDAt4kAs2VscA2ax&#10;Y6ftiEcpD16vimKjA/YsCw4HunXUfjRTMLBb3t0P7/qrwZ3PNL24ufWvszHnZ/PNNahMc/47hh98&#10;QYdamPZxYpuUNyCP5F+VbL3eiN0buFwVoOtK/4evvwEAAP//AwBQSwECLQAUAAYACAAAACEAtoM4&#10;kv4AAADhAQAAEwAAAAAAAAAAAAAAAAAAAAAAW0NvbnRlbnRfVHlwZXNdLnhtbFBLAQItABQABgAI&#10;AAAAIQA4/SH/1gAAAJQBAAALAAAAAAAAAAAAAAAAAC8BAABfcmVscy8ucmVsc1BLAQItABQABgAI&#10;AAAAIQDjIt8krQEAAFkDAAAOAAAAAAAAAAAAAAAAAC4CAABkcnMvZTJvRG9jLnhtbFBLAQItABQA&#10;BgAIAAAAIQBeqml02AAAAAQBAAAPAAAAAAAAAAAAAAAAAAcEAABkcnMvZG93bnJldi54bWxQSwUG&#10;AAAAAAQABADzAAAADAUAAAAA&#10;" o:allowincell="f" stroked="f">
                <v:textbox inset="0,0,0,0">
                  <w:txbxContent>
                    <w:p w14:paraId="02B3D9B7" w14:textId="463B80F4" w:rsidR="00B90508" w:rsidRDefault="00B90508" w:rsidP="000F03D3">
                      <w:pPr>
                        <w:spacing w:line="240" w:lineRule="auto"/>
                      </w:pPr>
                      <w:r>
                        <w:rPr>
                          <w:i/>
                          <w:sz w:val="18"/>
                        </w:rPr>
                        <w:t>Figure 1: Adaptive Management Cycle from Conservation Measures Partnership</w:t>
                      </w:r>
                    </w:p>
                    <w:p w14:paraId="48B3E90B" w14:textId="77777777" w:rsidR="00B90508" w:rsidRDefault="00B90508" w:rsidP="000F03D3"/>
                  </w:txbxContent>
                </v:textbox>
                <w10:wrap type="square" anchorx="margin"/>
              </v:rect>
            </w:pict>
          </mc:Fallback>
        </mc:AlternateContent>
      </w:r>
      <w:r w:rsidRPr="000F03D3">
        <w:rPr>
          <w:rFonts w:ascii="Arial" w:hAnsi="Arial" w:cs="Arial"/>
          <w:sz w:val="20"/>
          <w:szCs w:val="20"/>
        </w:rPr>
        <w:t>Conceptualization (step 1), and action and plan monitoring (step 2), are underway with the South Sound Strategy. Action implementation and monitoring (step 3) is taking place through ongoing projects as implemented and monitored by South Sound partners (captured to a limited extent in the suite of South Sound NTAs) and will also occur as South Sound partners implement projects based on the South Sound Strategy framework. As data and results become available from these projects (step 4), South Sound partners will share lessons learned through the South Sound LIO convening forum (step 5). The AHSS Technical Team will compile this information and use it as additional input to refine the South Sound Strategy.</w:t>
      </w:r>
    </w:p>
    <w:p w14:paraId="10FDC81C" w14:textId="77777777" w:rsidR="000F03D3" w:rsidRPr="000F03D3" w:rsidRDefault="000F03D3" w:rsidP="000F03D3">
      <w:pPr>
        <w:spacing w:after="120"/>
        <w:rPr>
          <w:rFonts w:ascii="Arial" w:hAnsi="Arial" w:cs="Arial"/>
          <w:sz w:val="20"/>
          <w:szCs w:val="20"/>
        </w:rPr>
      </w:pPr>
      <w:r w:rsidRPr="000F03D3">
        <w:rPr>
          <w:rFonts w:ascii="Arial" w:hAnsi="Arial" w:cs="Arial"/>
          <w:sz w:val="20"/>
          <w:szCs w:val="20"/>
        </w:rPr>
        <w:t>AHSS will pursue adaptive management of the South Sound strategy by regularly reviewing efforts and results including consideration of:</w:t>
      </w:r>
    </w:p>
    <w:p w14:paraId="72F29E47" w14:textId="77777777" w:rsidR="000F03D3" w:rsidRPr="000F03D3" w:rsidRDefault="000F03D3" w:rsidP="000F03D3">
      <w:pPr>
        <w:numPr>
          <w:ilvl w:val="0"/>
          <w:numId w:val="10"/>
        </w:numPr>
        <w:spacing w:after="0" w:line="256" w:lineRule="auto"/>
        <w:ind w:hanging="360"/>
        <w:contextualSpacing/>
        <w:rPr>
          <w:rFonts w:ascii="Arial" w:hAnsi="Arial" w:cs="Arial"/>
          <w:sz w:val="20"/>
          <w:szCs w:val="20"/>
        </w:rPr>
      </w:pPr>
      <w:r w:rsidRPr="000F03D3">
        <w:rPr>
          <w:rFonts w:ascii="Arial" w:hAnsi="Arial" w:cs="Arial"/>
          <w:sz w:val="20"/>
          <w:szCs w:val="20"/>
        </w:rPr>
        <w:t>What strategies have been executed and to what extent, for example, for the strategy of septic to sewer conversion in urban areas, review of how many have been accomplished and where.</w:t>
      </w:r>
    </w:p>
    <w:p w14:paraId="60AF0E44" w14:textId="77777777" w:rsidR="000F03D3" w:rsidRPr="000F03D3" w:rsidRDefault="000F03D3" w:rsidP="000F03D3">
      <w:pPr>
        <w:numPr>
          <w:ilvl w:val="0"/>
          <w:numId w:val="10"/>
        </w:numPr>
        <w:spacing w:after="0" w:line="256" w:lineRule="auto"/>
        <w:ind w:hanging="360"/>
        <w:contextualSpacing/>
        <w:rPr>
          <w:rFonts w:ascii="Arial" w:hAnsi="Arial" w:cs="Arial"/>
          <w:sz w:val="20"/>
          <w:szCs w:val="20"/>
        </w:rPr>
      </w:pPr>
      <w:r w:rsidRPr="000F03D3">
        <w:rPr>
          <w:rFonts w:ascii="Arial" w:hAnsi="Arial" w:cs="Arial"/>
          <w:sz w:val="20"/>
          <w:szCs w:val="20"/>
        </w:rPr>
        <w:t>Where performance and results are not moving as quickly as desired work with program implementers and project sponsors to identify barriers to implementation and/or program refinements.</w:t>
      </w:r>
    </w:p>
    <w:p w14:paraId="36C325F0" w14:textId="77777777" w:rsidR="000F03D3" w:rsidRPr="000F03D3" w:rsidRDefault="000F03D3" w:rsidP="000F03D3">
      <w:pPr>
        <w:numPr>
          <w:ilvl w:val="0"/>
          <w:numId w:val="10"/>
        </w:numPr>
        <w:spacing w:after="0" w:line="256" w:lineRule="auto"/>
        <w:ind w:hanging="360"/>
        <w:contextualSpacing/>
        <w:rPr>
          <w:rFonts w:ascii="Arial" w:hAnsi="Arial" w:cs="Arial"/>
          <w:sz w:val="20"/>
          <w:szCs w:val="20"/>
        </w:rPr>
      </w:pPr>
      <w:r w:rsidRPr="000F03D3">
        <w:rPr>
          <w:rFonts w:ascii="Arial" w:hAnsi="Arial" w:cs="Arial"/>
          <w:sz w:val="20"/>
          <w:szCs w:val="20"/>
        </w:rPr>
        <w:t>Review of South Sound goals and targets to track progress and to adjust over time as needed.</w:t>
      </w:r>
    </w:p>
    <w:p w14:paraId="77933CDA" w14:textId="77777777" w:rsidR="000F03D3" w:rsidRPr="000F03D3" w:rsidRDefault="000F03D3" w:rsidP="000F03D3">
      <w:pPr>
        <w:numPr>
          <w:ilvl w:val="0"/>
          <w:numId w:val="10"/>
        </w:numPr>
        <w:spacing w:after="0" w:line="256" w:lineRule="auto"/>
        <w:ind w:hanging="360"/>
        <w:contextualSpacing/>
        <w:rPr>
          <w:rFonts w:ascii="Arial" w:hAnsi="Arial" w:cs="Arial"/>
          <w:sz w:val="20"/>
          <w:szCs w:val="20"/>
        </w:rPr>
      </w:pPr>
      <w:r w:rsidRPr="000F03D3">
        <w:rPr>
          <w:rFonts w:ascii="Arial" w:hAnsi="Arial" w:cs="Arial"/>
          <w:sz w:val="20"/>
          <w:szCs w:val="20"/>
        </w:rPr>
        <w:t>Adjustment of our conceptual models and strategies to new scientific and technical information when needed.</w:t>
      </w:r>
    </w:p>
    <w:p w14:paraId="66928123" w14:textId="77777777" w:rsidR="000F03D3" w:rsidRPr="000F03D3" w:rsidRDefault="000F03D3" w:rsidP="000F03D3">
      <w:pPr>
        <w:rPr>
          <w:rFonts w:ascii="Arial" w:hAnsi="Arial" w:cs="Arial"/>
          <w:sz w:val="20"/>
          <w:szCs w:val="20"/>
        </w:rPr>
      </w:pPr>
    </w:p>
    <w:p w14:paraId="1D7104FE" w14:textId="77777777" w:rsidR="000F03D3" w:rsidRPr="000F03D3" w:rsidRDefault="000F03D3" w:rsidP="000F03D3">
      <w:pPr>
        <w:rPr>
          <w:rFonts w:ascii="Arial" w:hAnsi="Arial" w:cs="Arial"/>
          <w:sz w:val="20"/>
          <w:szCs w:val="20"/>
        </w:rPr>
      </w:pPr>
      <w:r w:rsidRPr="000F03D3">
        <w:rPr>
          <w:rFonts w:ascii="Arial" w:hAnsi="Arial" w:cs="Arial"/>
          <w:sz w:val="20"/>
          <w:szCs w:val="20"/>
        </w:rPr>
        <w:t xml:space="preserve">AHSS will accomplish adaptive management primarily through ongoing discussions with the South Sound Technical Team and the AHSS Council.  The AHSS Executive Committee will continue to make decisions about changes to South Sound goals or targets in response to advice from the Technical Team and Council.  We anticipate at least one plan review per year and we may consider carrying out this review as a session at the longstanding and well attended South Sound Science Symposium. </w:t>
      </w:r>
    </w:p>
    <w:p w14:paraId="106A64D9" w14:textId="77777777" w:rsidR="000F03D3" w:rsidRPr="000F03D3" w:rsidRDefault="000F03D3" w:rsidP="000F03D3">
      <w:pPr>
        <w:rPr>
          <w:rFonts w:ascii="Arial" w:hAnsi="Arial" w:cs="Arial"/>
          <w:sz w:val="20"/>
          <w:szCs w:val="20"/>
        </w:rPr>
      </w:pPr>
      <w:r w:rsidRPr="000F03D3">
        <w:rPr>
          <w:rFonts w:ascii="Arial" w:hAnsi="Arial" w:cs="Arial"/>
          <w:sz w:val="20"/>
          <w:szCs w:val="20"/>
        </w:rPr>
        <w:t xml:space="preserve">We note that adaptive management and evolutionary decision making involve a combination of responding to scientific and technical information and interactions with policy makers, project sponsors, and the broader community so the overall South Sound Strategy can continue to reflect what is needed and what can be done.  </w:t>
      </w:r>
    </w:p>
    <w:p w14:paraId="3A8637A4" w14:textId="77777777" w:rsidR="000F03D3" w:rsidRPr="000F03D3" w:rsidRDefault="000F03D3" w:rsidP="000F03D3">
      <w:pPr>
        <w:rPr>
          <w:rFonts w:ascii="Arial" w:hAnsi="Arial" w:cs="Arial"/>
          <w:sz w:val="20"/>
          <w:szCs w:val="20"/>
        </w:rPr>
      </w:pPr>
      <w:r w:rsidRPr="000F03D3">
        <w:rPr>
          <w:rFonts w:ascii="Arial" w:hAnsi="Arial" w:cs="Arial"/>
          <w:sz w:val="20"/>
          <w:szCs w:val="20"/>
        </w:rPr>
        <w:t>The South Sound LIO decision process for adaptively managing the South Sound Strategy will follow a similar structure to current LIO decision making and is described in Figure 2 below. The AHSS Technical Team will compile emerging data and project results on an ongoing basis and will bring compiled data to the annual review session as described above). The Technical Team will develop a list of recommendations for adaptation of the South Sound Strategy; the AHSS Council will review the recommendations and provided feedback. After Council feedback, the Technical Team will submit its recommendations to the Executive Committee, which will make final decision. The Technical Team will then review the South Sound Strategy by the direction indicated by the Executive Committee. The revised strategy will be circulated with AHSS Council members to ensure broad distribution to parties working in and around South Sound.</w:t>
      </w:r>
    </w:p>
    <w:p w14:paraId="18D702EF" w14:textId="77777777" w:rsidR="000F03D3" w:rsidRDefault="000F03D3" w:rsidP="000F03D3">
      <w:pPr>
        <w:keepNext/>
        <w:spacing w:after="200" w:line="240" w:lineRule="auto"/>
      </w:pPr>
      <w:r>
        <w:rPr>
          <w:i/>
          <w:sz w:val="18"/>
          <w:szCs w:val="18"/>
        </w:rPr>
        <w:lastRenderedPageBreak/>
        <w:t>Figure 2: AHSS Decision Making Structure</w:t>
      </w:r>
    </w:p>
    <w:p w14:paraId="0B984A38" w14:textId="6655EBCA" w:rsidR="000F03D3" w:rsidRDefault="000F03D3" w:rsidP="000F03D3">
      <w:r>
        <w:rPr>
          <w:noProof/>
        </w:rPr>
        <w:drawing>
          <wp:inline distT="0" distB="0" distL="0" distR="0" wp14:anchorId="2F8454BE" wp14:editId="2C341D54">
            <wp:extent cx="5943600" cy="2449830"/>
            <wp:effectExtent l="0" t="0" r="0" b="762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3.pn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43600" cy="2449830"/>
                    </a:xfrm>
                    <a:prstGeom prst="rect">
                      <a:avLst/>
                    </a:prstGeom>
                    <a:noFill/>
                    <a:ln>
                      <a:noFill/>
                    </a:ln>
                  </pic:spPr>
                </pic:pic>
              </a:graphicData>
            </a:graphic>
          </wp:inline>
        </w:drawing>
      </w:r>
    </w:p>
    <w:p w14:paraId="6C63ED14" w14:textId="77777777" w:rsidR="000F03D3" w:rsidRDefault="000F03D3" w:rsidP="000F03D3"/>
    <w:p w14:paraId="669502F2" w14:textId="2EF7B254" w:rsidR="000F03D3" w:rsidRPr="000F03D3" w:rsidRDefault="000F03D3" w:rsidP="000F03D3">
      <w:pPr>
        <w:pBdr>
          <w:bottom w:val="single" w:sz="12" w:space="0" w:color="003A5D"/>
        </w:pBdr>
        <w:spacing w:before="150" w:after="150" w:line="240" w:lineRule="auto"/>
        <w:outlineLvl w:val="0"/>
        <w:rPr>
          <w:rFonts w:ascii="Trebuchet MS" w:eastAsia="Times New Roman" w:hAnsi="Trebuchet MS" w:cs="Times New Roman"/>
          <w:b/>
          <w:bCs/>
          <w:caps/>
          <w:color w:val="003A5D"/>
          <w:kern w:val="36"/>
          <w:sz w:val="28"/>
          <w:szCs w:val="28"/>
        </w:rPr>
      </w:pPr>
      <w:r w:rsidRPr="000F03D3">
        <w:rPr>
          <w:rFonts w:ascii="Trebuchet MS" w:eastAsia="Times New Roman" w:hAnsi="Trebuchet MS" w:cs="Times New Roman"/>
          <w:b/>
          <w:bCs/>
          <w:caps/>
          <w:color w:val="003A5D"/>
          <w:kern w:val="36"/>
          <w:sz w:val="28"/>
          <w:szCs w:val="28"/>
        </w:rPr>
        <w:t>GAPS/BARRIERS</w:t>
      </w:r>
    </w:p>
    <w:p w14:paraId="6F811E79" w14:textId="5BF11B6E" w:rsidR="000F03D3" w:rsidRDefault="000F03D3" w:rsidP="00B968DB">
      <w:pPr>
        <w:spacing w:after="0" w:line="240" w:lineRule="auto"/>
        <w:rPr>
          <w:rFonts w:ascii="Times New Roman" w:eastAsia="Times New Roman" w:hAnsi="Times New Roman" w:cs="Times New Roman"/>
          <w:sz w:val="24"/>
          <w:szCs w:val="24"/>
        </w:rPr>
      </w:pPr>
    </w:p>
    <w:p w14:paraId="6B1AD31E" w14:textId="77777777" w:rsidR="000F03D3" w:rsidRPr="000F03D3" w:rsidRDefault="000F03D3" w:rsidP="000F03D3">
      <w:pPr>
        <w:rPr>
          <w:rFonts w:ascii="Arial" w:hAnsi="Arial" w:cs="Arial"/>
          <w:sz w:val="20"/>
          <w:szCs w:val="20"/>
        </w:rPr>
      </w:pPr>
      <w:r w:rsidRPr="000F03D3">
        <w:rPr>
          <w:rFonts w:ascii="Arial" w:hAnsi="Arial" w:cs="Arial"/>
          <w:sz w:val="20"/>
          <w:szCs w:val="20"/>
        </w:rPr>
        <w:t>The table below summarizes gaps initially identified by the AHSS Technical Team through development of the South Sound Strategy. Since the South Sound Strategy development has focused on identification and refinement of appropriate data to support work around the South Sound focus areas, the gaps identified to-date are data-related. Gaps in pressures, strategies, goals, objectives, and process (and associated barriers) will be identified by the Technical Team and AHSS partners prior to the September deliverable submittal.</w:t>
      </w:r>
    </w:p>
    <w:p w14:paraId="7F221A55" w14:textId="77777777" w:rsidR="000F03D3" w:rsidRDefault="000F03D3" w:rsidP="000F03D3"/>
    <w:tbl>
      <w:tblPr>
        <w:tblStyle w:val="TableGrid"/>
        <w:tblW w:w="13135"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ook w:val="04A0" w:firstRow="1" w:lastRow="0" w:firstColumn="1" w:lastColumn="0" w:noHBand="0" w:noVBand="1"/>
      </w:tblPr>
      <w:tblGrid>
        <w:gridCol w:w="1705"/>
        <w:gridCol w:w="8010"/>
        <w:gridCol w:w="3420"/>
      </w:tblGrid>
      <w:tr w:rsidR="000F03D3" w:rsidRPr="000F03D3" w14:paraId="4D04D54A" w14:textId="77777777" w:rsidTr="000F03D3">
        <w:tc>
          <w:tcPr>
            <w:tcW w:w="1705" w:type="dxa"/>
            <w:shd w:val="clear" w:color="auto" w:fill="D9D9D9" w:themeFill="background1" w:themeFillShade="D9"/>
          </w:tcPr>
          <w:p w14:paraId="5A593992" w14:textId="77777777" w:rsidR="000F03D3" w:rsidRPr="000F03D3" w:rsidRDefault="000F03D3" w:rsidP="00F14FE4">
            <w:pPr>
              <w:rPr>
                <w:rFonts w:ascii="Arial" w:hAnsi="Arial" w:cs="Arial"/>
                <w:sz w:val="20"/>
                <w:szCs w:val="20"/>
              </w:rPr>
            </w:pPr>
            <w:r w:rsidRPr="000F03D3">
              <w:rPr>
                <w:rFonts w:ascii="Arial" w:hAnsi="Arial" w:cs="Arial"/>
                <w:sz w:val="20"/>
                <w:szCs w:val="20"/>
              </w:rPr>
              <w:t>Gap</w:t>
            </w:r>
          </w:p>
        </w:tc>
        <w:tc>
          <w:tcPr>
            <w:tcW w:w="8010" w:type="dxa"/>
            <w:shd w:val="clear" w:color="auto" w:fill="D9D9D9" w:themeFill="background1" w:themeFillShade="D9"/>
          </w:tcPr>
          <w:p w14:paraId="2C027846" w14:textId="77777777" w:rsidR="000F03D3" w:rsidRPr="000F03D3" w:rsidRDefault="000F03D3" w:rsidP="00F14FE4">
            <w:pPr>
              <w:rPr>
                <w:rFonts w:ascii="Arial" w:hAnsi="Arial" w:cs="Arial"/>
                <w:sz w:val="20"/>
                <w:szCs w:val="20"/>
              </w:rPr>
            </w:pPr>
            <w:r w:rsidRPr="000F03D3">
              <w:rPr>
                <w:rFonts w:ascii="Arial" w:hAnsi="Arial" w:cs="Arial"/>
                <w:sz w:val="20"/>
                <w:szCs w:val="20"/>
              </w:rPr>
              <w:t>Detailed Description</w:t>
            </w:r>
          </w:p>
        </w:tc>
        <w:tc>
          <w:tcPr>
            <w:tcW w:w="3420" w:type="dxa"/>
            <w:shd w:val="clear" w:color="auto" w:fill="D9D9D9" w:themeFill="background1" w:themeFillShade="D9"/>
          </w:tcPr>
          <w:p w14:paraId="75CCCDEC" w14:textId="77777777" w:rsidR="000F03D3" w:rsidRPr="000F03D3" w:rsidRDefault="000F03D3" w:rsidP="00F14FE4">
            <w:pPr>
              <w:rPr>
                <w:rFonts w:ascii="Arial" w:hAnsi="Arial" w:cs="Arial"/>
                <w:sz w:val="20"/>
                <w:szCs w:val="20"/>
              </w:rPr>
            </w:pPr>
            <w:r w:rsidRPr="000F03D3">
              <w:rPr>
                <w:rFonts w:ascii="Arial" w:hAnsi="Arial" w:cs="Arial"/>
                <w:sz w:val="20"/>
                <w:szCs w:val="20"/>
              </w:rPr>
              <w:t>Resources Needed to Fill (technical, capacity, political)</w:t>
            </w:r>
          </w:p>
        </w:tc>
      </w:tr>
      <w:tr w:rsidR="000F03D3" w:rsidRPr="000F03D3" w14:paraId="3B3C26CC" w14:textId="77777777" w:rsidTr="000F03D3">
        <w:tc>
          <w:tcPr>
            <w:tcW w:w="1705" w:type="dxa"/>
          </w:tcPr>
          <w:p w14:paraId="4D7749C7" w14:textId="77777777" w:rsidR="000F03D3" w:rsidRPr="000F03D3" w:rsidRDefault="000F03D3" w:rsidP="00F14FE4">
            <w:pPr>
              <w:rPr>
                <w:rFonts w:ascii="Arial" w:hAnsi="Arial" w:cs="Arial"/>
                <w:sz w:val="20"/>
                <w:szCs w:val="20"/>
              </w:rPr>
            </w:pPr>
            <w:r w:rsidRPr="000F03D3">
              <w:rPr>
                <w:rFonts w:ascii="Arial" w:hAnsi="Arial" w:cs="Arial"/>
                <w:sz w:val="20"/>
                <w:szCs w:val="20"/>
              </w:rPr>
              <w:t>Salmonid survival rates</w:t>
            </w:r>
          </w:p>
        </w:tc>
        <w:tc>
          <w:tcPr>
            <w:tcW w:w="8010" w:type="dxa"/>
          </w:tcPr>
          <w:p w14:paraId="74564596" w14:textId="77777777" w:rsidR="000F03D3" w:rsidRPr="000F03D3" w:rsidRDefault="000F03D3" w:rsidP="00F14FE4">
            <w:pPr>
              <w:rPr>
                <w:rFonts w:ascii="Arial" w:hAnsi="Arial" w:cs="Arial"/>
                <w:sz w:val="20"/>
                <w:szCs w:val="20"/>
              </w:rPr>
            </w:pPr>
            <w:r w:rsidRPr="000F03D3">
              <w:rPr>
                <w:rFonts w:ascii="Arial" w:hAnsi="Arial" w:cs="Arial"/>
                <w:sz w:val="20"/>
                <w:szCs w:val="20"/>
              </w:rPr>
              <w:t>Understanding of early marine survival in salmonids and why juvenile fish are not surviving at adequate rates</w:t>
            </w:r>
          </w:p>
        </w:tc>
        <w:tc>
          <w:tcPr>
            <w:tcW w:w="3420" w:type="dxa"/>
          </w:tcPr>
          <w:p w14:paraId="2CB873B8" w14:textId="77777777" w:rsidR="000F03D3" w:rsidRPr="000F03D3" w:rsidRDefault="000F03D3" w:rsidP="00F14FE4">
            <w:pPr>
              <w:rPr>
                <w:rFonts w:ascii="Arial" w:hAnsi="Arial" w:cs="Arial"/>
                <w:sz w:val="20"/>
                <w:szCs w:val="20"/>
              </w:rPr>
            </w:pPr>
            <w:r w:rsidRPr="000F03D3">
              <w:rPr>
                <w:rFonts w:ascii="Arial" w:hAnsi="Arial" w:cs="Arial"/>
                <w:sz w:val="20"/>
                <w:szCs w:val="20"/>
              </w:rPr>
              <w:t>Technical</w:t>
            </w:r>
          </w:p>
        </w:tc>
      </w:tr>
      <w:tr w:rsidR="000F03D3" w:rsidRPr="000F03D3" w14:paraId="76953619" w14:textId="77777777" w:rsidTr="000F03D3">
        <w:tc>
          <w:tcPr>
            <w:tcW w:w="1705" w:type="dxa"/>
          </w:tcPr>
          <w:p w14:paraId="0DA9287E" w14:textId="77777777" w:rsidR="000F03D3" w:rsidRPr="000F03D3" w:rsidRDefault="000F03D3" w:rsidP="00F14FE4">
            <w:pPr>
              <w:rPr>
                <w:rFonts w:ascii="Arial" w:hAnsi="Arial" w:cs="Arial"/>
                <w:sz w:val="20"/>
                <w:szCs w:val="20"/>
              </w:rPr>
            </w:pPr>
            <w:r w:rsidRPr="000F03D3">
              <w:rPr>
                <w:rFonts w:ascii="Arial" w:hAnsi="Arial" w:cs="Arial"/>
                <w:sz w:val="20"/>
                <w:szCs w:val="20"/>
              </w:rPr>
              <w:t>Herring abundance</w:t>
            </w:r>
          </w:p>
        </w:tc>
        <w:tc>
          <w:tcPr>
            <w:tcW w:w="8010" w:type="dxa"/>
          </w:tcPr>
          <w:p w14:paraId="2D832F15" w14:textId="77777777" w:rsidR="000F03D3" w:rsidRPr="000F03D3" w:rsidRDefault="000F03D3" w:rsidP="00F14FE4">
            <w:pPr>
              <w:rPr>
                <w:rFonts w:ascii="Arial" w:hAnsi="Arial" w:cs="Arial"/>
                <w:sz w:val="20"/>
                <w:szCs w:val="20"/>
              </w:rPr>
            </w:pPr>
            <w:r w:rsidRPr="000F03D3">
              <w:rPr>
                <w:rFonts w:ascii="Arial" w:hAnsi="Arial" w:cs="Arial"/>
                <w:sz w:val="20"/>
                <w:szCs w:val="20"/>
              </w:rPr>
              <w:t>Requirements / actions to increase herring abundance and whether increased abundance is possible</w:t>
            </w:r>
          </w:p>
        </w:tc>
        <w:tc>
          <w:tcPr>
            <w:tcW w:w="3420" w:type="dxa"/>
          </w:tcPr>
          <w:p w14:paraId="1CB21325" w14:textId="77777777" w:rsidR="000F03D3" w:rsidRPr="000F03D3" w:rsidRDefault="000F03D3" w:rsidP="00F14FE4">
            <w:pPr>
              <w:rPr>
                <w:rFonts w:ascii="Arial" w:hAnsi="Arial" w:cs="Arial"/>
                <w:sz w:val="20"/>
                <w:szCs w:val="20"/>
              </w:rPr>
            </w:pPr>
            <w:r w:rsidRPr="000F03D3">
              <w:rPr>
                <w:rFonts w:ascii="Arial" w:hAnsi="Arial" w:cs="Arial"/>
                <w:sz w:val="20"/>
                <w:szCs w:val="20"/>
              </w:rPr>
              <w:t>Technical</w:t>
            </w:r>
          </w:p>
        </w:tc>
      </w:tr>
      <w:tr w:rsidR="000F03D3" w:rsidRPr="000F03D3" w14:paraId="217C5C31" w14:textId="77777777" w:rsidTr="000F03D3">
        <w:tc>
          <w:tcPr>
            <w:tcW w:w="1705" w:type="dxa"/>
          </w:tcPr>
          <w:p w14:paraId="55495E1C" w14:textId="77777777" w:rsidR="000F03D3" w:rsidRPr="000F03D3" w:rsidRDefault="000F03D3" w:rsidP="00F14FE4">
            <w:pPr>
              <w:rPr>
                <w:rFonts w:ascii="Arial" w:hAnsi="Arial" w:cs="Arial"/>
                <w:sz w:val="20"/>
                <w:szCs w:val="20"/>
              </w:rPr>
            </w:pPr>
            <w:r w:rsidRPr="000F03D3">
              <w:rPr>
                <w:rFonts w:ascii="Arial" w:hAnsi="Arial" w:cs="Arial"/>
                <w:sz w:val="20"/>
                <w:szCs w:val="20"/>
              </w:rPr>
              <w:t>Dissolved oxygen</w:t>
            </w:r>
          </w:p>
        </w:tc>
        <w:tc>
          <w:tcPr>
            <w:tcW w:w="8010" w:type="dxa"/>
          </w:tcPr>
          <w:p w14:paraId="7AAC29EA" w14:textId="77777777" w:rsidR="000F03D3" w:rsidRPr="000F03D3" w:rsidRDefault="000F03D3" w:rsidP="00F14FE4">
            <w:pPr>
              <w:rPr>
                <w:rFonts w:ascii="Arial" w:hAnsi="Arial" w:cs="Arial"/>
                <w:sz w:val="20"/>
                <w:szCs w:val="20"/>
              </w:rPr>
            </w:pPr>
            <w:r w:rsidRPr="000F03D3">
              <w:rPr>
                <w:rFonts w:ascii="Arial" w:hAnsi="Arial" w:cs="Arial"/>
                <w:sz w:val="20"/>
                <w:szCs w:val="20"/>
              </w:rPr>
              <w:t>South Sound dissolved oxygen issues and how best to address dissolved oxygen problems (being addressed through the ongoing dissolved oxygen study with Ecology)</w:t>
            </w:r>
          </w:p>
        </w:tc>
        <w:tc>
          <w:tcPr>
            <w:tcW w:w="3420" w:type="dxa"/>
          </w:tcPr>
          <w:p w14:paraId="39D0FCBB" w14:textId="77777777" w:rsidR="000F03D3" w:rsidRPr="000F03D3" w:rsidRDefault="000F03D3" w:rsidP="00F14FE4">
            <w:pPr>
              <w:rPr>
                <w:rFonts w:ascii="Arial" w:hAnsi="Arial" w:cs="Arial"/>
                <w:sz w:val="20"/>
                <w:szCs w:val="20"/>
              </w:rPr>
            </w:pPr>
            <w:r w:rsidRPr="000F03D3">
              <w:rPr>
                <w:rFonts w:ascii="Arial" w:hAnsi="Arial" w:cs="Arial"/>
                <w:sz w:val="20"/>
                <w:szCs w:val="20"/>
              </w:rPr>
              <w:t>Technical</w:t>
            </w:r>
          </w:p>
        </w:tc>
      </w:tr>
      <w:tr w:rsidR="000F03D3" w:rsidRPr="000F03D3" w14:paraId="0F55F899" w14:textId="77777777" w:rsidTr="000F03D3">
        <w:tc>
          <w:tcPr>
            <w:tcW w:w="1705" w:type="dxa"/>
          </w:tcPr>
          <w:p w14:paraId="3AE97780" w14:textId="77777777" w:rsidR="000F03D3" w:rsidRPr="000F03D3" w:rsidRDefault="000F03D3" w:rsidP="00F14FE4">
            <w:pPr>
              <w:rPr>
                <w:rFonts w:ascii="Arial" w:hAnsi="Arial" w:cs="Arial"/>
                <w:sz w:val="20"/>
                <w:szCs w:val="20"/>
              </w:rPr>
            </w:pPr>
            <w:r w:rsidRPr="000F03D3">
              <w:rPr>
                <w:rFonts w:ascii="Arial" w:hAnsi="Arial" w:cs="Arial"/>
                <w:sz w:val="20"/>
                <w:szCs w:val="20"/>
              </w:rPr>
              <w:lastRenderedPageBreak/>
              <w:t>Shoreline armoring</w:t>
            </w:r>
          </w:p>
        </w:tc>
        <w:tc>
          <w:tcPr>
            <w:tcW w:w="8010" w:type="dxa"/>
          </w:tcPr>
          <w:p w14:paraId="299A5014" w14:textId="77777777" w:rsidR="000F03D3" w:rsidRPr="000F03D3" w:rsidRDefault="000F03D3" w:rsidP="00F14FE4">
            <w:pPr>
              <w:rPr>
                <w:rFonts w:ascii="Arial" w:hAnsi="Arial" w:cs="Arial"/>
                <w:sz w:val="20"/>
                <w:szCs w:val="20"/>
              </w:rPr>
            </w:pPr>
            <w:r w:rsidRPr="000F03D3">
              <w:rPr>
                <w:rFonts w:ascii="Arial" w:hAnsi="Arial" w:cs="Arial"/>
                <w:sz w:val="20"/>
                <w:szCs w:val="20"/>
              </w:rPr>
              <w:t>Extent of shoreline armoring is not completely known, as current data sets rely on imagery that does not completely capture shoreline structures. For example, overhanging foliage can obscure shoreline structures in aerial photos. Also, anecdotal evidence suggests that relying on permit information for shoreline structure data does not adequately estimate amount of new or modified shoreline structures since a large amount of construction and/or modification is unpermitted. Vessel-based, automated imaging would be a useful tool for more accurate insight into extent of shoreline armoring.</w:t>
            </w:r>
          </w:p>
        </w:tc>
        <w:tc>
          <w:tcPr>
            <w:tcW w:w="3420" w:type="dxa"/>
          </w:tcPr>
          <w:p w14:paraId="1FFEDC4B" w14:textId="77777777" w:rsidR="000F03D3" w:rsidRPr="000F03D3" w:rsidRDefault="000F03D3" w:rsidP="00F14FE4">
            <w:pPr>
              <w:rPr>
                <w:rFonts w:ascii="Arial" w:hAnsi="Arial" w:cs="Arial"/>
                <w:sz w:val="20"/>
                <w:szCs w:val="20"/>
              </w:rPr>
            </w:pPr>
            <w:r w:rsidRPr="000F03D3">
              <w:rPr>
                <w:rFonts w:ascii="Arial" w:hAnsi="Arial" w:cs="Arial"/>
                <w:sz w:val="20"/>
                <w:szCs w:val="20"/>
              </w:rPr>
              <w:t>Technical</w:t>
            </w:r>
          </w:p>
        </w:tc>
      </w:tr>
      <w:tr w:rsidR="000F03D3" w:rsidRPr="000F03D3" w14:paraId="1E97C5DF" w14:textId="77777777" w:rsidTr="000F03D3">
        <w:tc>
          <w:tcPr>
            <w:tcW w:w="1705" w:type="dxa"/>
          </w:tcPr>
          <w:p w14:paraId="702EC6C4" w14:textId="77777777" w:rsidR="000F03D3" w:rsidRPr="000F03D3" w:rsidRDefault="000F03D3" w:rsidP="00F14FE4">
            <w:pPr>
              <w:rPr>
                <w:rFonts w:ascii="Arial" w:hAnsi="Arial" w:cs="Arial"/>
                <w:sz w:val="20"/>
                <w:szCs w:val="20"/>
              </w:rPr>
            </w:pPr>
            <w:r w:rsidRPr="000F03D3">
              <w:rPr>
                <w:rFonts w:ascii="Arial" w:hAnsi="Arial" w:cs="Arial"/>
                <w:sz w:val="20"/>
                <w:szCs w:val="20"/>
              </w:rPr>
              <w:t>Data layers for ecosystem attributes</w:t>
            </w:r>
          </w:p>
        </w:tc>
        <w:tc>
          <w:tcPr>
            <w:tcW w:w="8010" w:type="dxa"/>
          </w:tcPr>
          <w:p w14:paraId="4D8C4E74" w14:textId="77777777" w:rsidR="000F03D3" w:rsidRPr="000F03D3" w:rsidRDefault="000F03D3" w:rsidP="00F14FE4">
            <w:pPr>
              <w:rPr>
                <w:rFonts w:ascii="Arial" w:hAnsi="Arial" w:cs="Arial"/>
                <w:sz w:val="20"/>
                <w:szCs w:val="20"/>
              </w:rPr>
            </w:pPr>
            <w:r w:rsidRPr="000F03D3">
              <w:rPr>
                <w:rFonts w:ascii="Arial" w:hAnsi="Arial" w:cs="Arial"/>
                <w:sz w:val="20"/>
                <w:szCs w:val="20"/>
              </w:rPr>
              <w:t>Updated data layers for a number of addition ecosystem attributes, e.g. small pocket estuaries.</w:t>
            </w:r>
          </w:p>
        </w:tc>
        <w:tc>
          <w:tcPr>
            <w:tcW w:w="3420" w:type="dxa"/>
          </w:tcPr>
          <w:p w14:paraId="1AAA9EB8" w14:textId="77777777" w:rsidR="000F03D3" w:rsidRPr="000F03D3" w:rsidRDefault="000F03D3" w:rsidP="00F14FE4">
            <w:pPr>
              <w:rPr>
                <w:rFonts w:ascii="Arial" w:hAnsi="Arial" w:cs="Arial"/>
                <w:sz w:val="20"/>
                <w:szCs w:val="20"/>
              </w:rPr>
            </w:pPr>
            <w:r w:rsidRPr="000F03D3">
              <w:rPr>
                <w:rFonts w:ascii="Arial" w:hAnsi="Arial" w:cs="Arial"/>
                <w:sz w:val="20"/>
                <w:szCs w:val="20"/>
              </w:rPr>
              <w:t>Technical</w:t>
            </w:r>
          </w:p>
        </w:tc>
      </w:tr>
      <w:tr w:rsidR="000F03D3" w:rsidRPr="000F03D3" w14:paraId="57FBDC78" w14:textId="77777777" w:rsidTr="000F03D3">
        <w:tc>
          <w:tcPr>
            <w:tcW w:w="1705" w:type="dxa"/>
          </w:tcPr>
          <w:p w14:paraId="3F8ECB5C" w14:textId="77777777" w:rsidR="000F03D3" w:rsidRPr="000F03D3" w:rsidRDefault="000F03D3" w:rsidP="00F14FE4">
            <w:pPr>
              <w:rPr>
                <w:rFonts w:ascii="Arial" w:hAnsi="Arial" w:cs="Arial"/>
                <w:sz w:val="20"/>
                <w:szCs w:val="20"/>
              </w:rPr>
            </w:pPr>
            <w:r w:rsidRPr="000F03D3">
              <w:rPr>
                <w:rFonts w:ascii="Arial" w:hAnsi="Arial" w:cs="Arial"/>
                <w:sz w:val="20"/>
                <w:szCs w:val="20"/>
              </w:rPr>
              <w:t>Wetland data</w:t>
            </w:r>
          </w:p>
        </w:tc>
        <w:tc>
          <w:tcPr>
            <w:tcW w:w="8010" w:type="dxa"/>
          </w:tcPr>
          <w:p w14:paraId="641C6FF9" w14:textId="77777777" w:rsidR="000F03D3" w:rsidRPr="000F03D3" w:rsidRDefault="000F03D3" w:rsidP="00F14FE4">
            <w:pPr>
              <w:rPr>
                <w:rFonts w:ascii="Arial" w:hAnsi="Arial" w:cs="Arial"/>
                <w:sz w:val="20"/>
                <w:szCs w:val="20"/>
              </w:rPr>
            </w:pPr>
            <w:r w:rsidRPr="000F03D3">
              <w:rPr>
                <w:rFonts w:ascii="Arial" w:hAnsi="Arial" w:cs="Arial"/>
                <w:sz w:val="20"/>
                <w:szCs w:val="20"/>
              </w:rPr>
              <w:t>Updated wetland inventories and data.</w:t>
            </w:r>
          </w:p>
        </w:tc>
        <w:tc>
          <w:tcPr>
            <w:tcW w:w="3420" w:type="dxa"/>
          </w:tcPr>
          <w:p w14:paraId="32007E59" w14:textId="77777777" w:rsidR="000F03D3" w:rsidRPr="000F03D3" w:rsidRDefault="000F03D3" w:rsidP="00F14FE4">
            <w:pPr>
              <w:rPr>
                <w:rFonts w:ascii="Arial" w:hAnsi="Arial" w:cs="Arial"/>
                <w:sz w:val="20"/>
                <w:szCs w:val="20"/>
              </w:rPr>
            </w:pPr>
            <w:r w:rsidRPr="000F03D3">
              <w:rPr>
                <w:rFonts w:ascii="Arial" w:hAnsi="Arial" w:cs="Arial"/>
                <w:sz w:val="20"/>
                <w:szCs w:val="20"/>
              </w:rPr>
              <w:t>Technical</w:t>
            </w:r>
          </w:p>
        </w:tc>
      </w:tr>
      <w:tr w:rsidR="000F03D3" w:rsidRPr="000F03D3" w14:paraId="6F192CCB" w14:textId="77777777" w:rsidTr="000F03D3">
        <w:tc>
          <w:tcPr>
            <w:tcW w:w="1705" w:type="dxa"/>
          </w:tcPr>
          <w:p w14:paraId="7445D403" w14:textId="77777777" w:rsidR="000F03D3" w:rsidRPr="000F03D3" w:rsidRDefault="000F03D3" w:rsidP="00F14FE4">
            <w:pPr>
              <w:rPr>
                <w:rFonts w:ascii="Arial" w:hAnsi="Arial" w:cs="Arial"/>
                <w:sz w:val="20"/>
                <w:szCs w:val="20"/>
              </w:rPr>
            </w:pPr>
            <w:r w:rsidRPr="000F03D3">
              <w:rPr>
                <w:rFonts w:ascii="Arial" w:hAnsi="Arial" w:cs="Arial"/>
                <w:sz w:val="20"/>
                <w:szCs w:val="20"/>
              </w:rPr>
              <w:t>Fish passage barrier prioritization</w:t>
            </w:r>
          </w:p>
        </w:tc>
        <w:tc>
          <w:tcPr>
            <w:tcW w:w="8010" w:type="dxa"/>
          </w:tcPr>
          <w:p w14:paraId="35E370ED" w14:textId="77777777" w:rsidR="000F03D3" w:rsidRPr="000F03D3" w:rsidRDefault="000F03D3" w:rsidP="00F14FE4">
            <w:pPr>
              <w:rPr>
                <w:rFonts w:ascii="Arial" w:hAnsi="Arial" w:cs="Arial"/>
                <w:sz w:val="20"/>
                <w:szCs w:val="20"/>
              </w:rPr>
            </w:pPr>
            <w:r w:rsidRPr="000F03D3">
              <w:rPr>
                <w:rFonts w:ascii="Arial" w:hAnsi="Arial" w:cs="Arial"/>
                <w:sz w:val="20"/>
                <w:szCs w:val="20"/>
              </w:rPr>
              <w:t>Many fish passage barriers do not have a priority index rating</w:t>
            </w:r>
          </w:p>
        </w:tc>
        <w:tc>
          <w:tcPr>
            <w:tcW w:w="3420" w:type="dxa"/>
          </w:tcPr>
          <w:p w14:paraId="716FF50F" w14:textId="77777777" w:rsidR="000F03D3" w:rsidRPr="000F03D3" w:rsidRDefault="000F03D3" w:rsidP="00F14FE4">
            <w:pPr>
              <w:rPr>
                <w:rFonts w:ascii="Arial" w:hAnsi="Arial" w:cs="Arial"/>
                <w:sz w:val="20"/>
                <w:szCs w:val="20"/>
              </w:rPr>
            </w:pPr>
            <w:r w:rsidRPr="000F03D3">
              <w:rPr>
                <w:rFonts w:ascii="Arial" w:hAnsi="Arial" w:cs="Arial"/>
                <w:sz w:val="20"/>
                <w:szCs w:val="20"/>
              </w:rPr>
              <w:t>Technical</w:t>
            </w:r>
          </w:p>
        </w:tc>
      </w:tr>
      <w:tr w:rsidR="000F03D3" w:rsidRPr="000F03D3" w14:paraId="25B5618D" w14:textId="77777777" w:rsidTr="000F03D3">
        <w:tc>
          <w:tcPr>
            <w:tcW w:w="1705" w:type="dxa"/>
            <w:shd w:val="clear" w:color="auto" w:fill="D9D9D9" w:themeFill="background1" w:themeFillShade="D9"/>
          </w:tcPr>
          <w:p w14:paraId="33D85AC3" w14:textId="77777777" w:rsidR="000F03D3" w:rsidRPr="000F03D3" w:rsidRDefault="000F03D3" w:rsidP="00F14FE4">
            <w:pPr>
              <w:rPr>
                <w:rFonts w:ascii="Arial" w:hAnsi="Arial" w:cs="Arial"/>
                <w:sz w:val="20"/>
                <w:szCs w:val="20"/>
              </w:rPr>
            </w:pPr>
            <w:r w:rsidRPr="000F03D3">
              <w:rPr>
                <w:rFonts w:ascii="Arial" w:hAnsi="Arial" w:cs="Arial"/>
                <w:sz w:val="20"/>
                <w:szCs w:val="20"/>
              </w:rPr>
              <w:t>Barrier</w:t>
            </w:r>
          </w:p>
        </w:tc>
        <w:tc>
          <w:tcPr>
            <w:tcW w:w="8010" w:type="dxa"/>
            <w:shd w:val="clear" w:color="auto" w:fill="D9D9D9" w:themeFill="background1" w:themeFillShade="D9"/>
          </w:tcPr>
          <w:p w14:paraId="0E1EBDCA" w14:textId="77777777" w:rsidR="000F03D3" w:rsidRPr="000F03D3" w:rsidRDefault="000F03D3" w:rsidP="00F14FE4">
            <w:pPr>
              <w:rPr>
                <w:rFonts w:ascii="Arial" w:hAnsi="Arial" w:cs="Arial"/>
                <w:sz w:val="20"/>
                <w:szCs w:val="20"/>
              </w:rPr>
            </w:pPr>
            <w:r w:rsidRPr="000F03D3">
              <w:rPr>
                <w:rFonts w:ascii="Arial" w:hAnsi="Arial" w:cs="Arial"/>
                <w:sz w:val="20"/>
                <w:szCs w:val="20"/>
              </w:rPr>
              <w:t>Detailed Description</w:t>
            </w:r>
          </w:p>
        </w:tc>
        <w:tc>
          <w:tcPr>
            <w:tcW w:w="3420" w:type="dxa"/>
            <w:shd w:val="clear" w:color="auto" w:fill="D9D9D9" w:themeFill="background1" w:themeFillShade="D9"/>
          </w:tcPr>
          <w:p w14:paraId="4C63A4C8" w14:textId="77777777" w:rsidR="000F03D3" w:rsidRPr="000F03D3" w:rsidRDefault="000F03D3" w:rsidP="00F14FE4">
            <w:pPr>
              <w:rPr>
                <w:rFonts w:ascii="Arial" w:hAnsi="Arial" w:cs="Arial"/>
                <w:sz w:val="20"/>
                <w:szCs w:val="20"/>
              </w:rPr>
            </w:pPr>
            <w:r w:rsidRPr="000F03D3">
              <w:rPr>
                <w:rFonts w:ascii="Arial" w:hAnsi="Arial" w:cs="Arial"/>
                <w:sz w:val="20"/>
                <w:szCs w:val="20"/>
              </w:rPr>
              <w:t>Resources Needed to Fill (technical, capacity, political)</w:t>
            </w:r>
          </w:p>
        </w:tc>
      </w:tr>
      <w:tr w:rsidR="000F03D3" w:rsidRPr="000F03D3" w14:paraId="27928F08" w14:textId="77777777" w:rsidTr="000F03D3">
        <w:tc>
          <w:tcPr>
            <w:tcW w:w="1705" w:type="dxa"/>
          </w:tcPr>
          <w:p w14:paraId="3A6C3058" w14:textId="77777777" w:rsidR="000F03D3" w:rsidRPr="000F03D3" w:rsidRDefault="000F03D3" w:rsidP="00F14FE4">
            <w:pPr>
              <w:rPr>
                <w:rFonts w:ascii="Arial" w:hAnsi="Arial" w:cs="Arial"/>
                <w:sz w:val="20"/>
                <w:szCs w:val="20"/>
              </w:rPr>
            </w:pPr>
            <w:r w:rsidRPr="000F03D3">
              <w:rPr>
                <w:rFonts w:ascii="Arial" w:hAnsi="Arial" w:cs="Arial"/>
                <w:sz w:val="20"/>
                <w:szCs w:val="20"/>
              </w:rPr>
              <w:t>TBD</w:t>
            </w:r>
          </w:p>
        </w:tc>
        <w:tc>
          <w:tcPr>
            <w:tcW w:w="8010" w:type="dxa"/>
          </w:tcPr>
          <w:p w14:paraId="63877CCE" w14:textId="77777777" w:rsidR="000F03D3" w:rsidRPr="000F03D3" w:rsidRDefault="000F03D3" w:rsidP="00F14FE4">
            <w:pPr>
              <w:rPr>
                <w:rFonts w:ascii="Arial" w:hAnsi="Arial" w:cs="Arial"/>
                <w:sz w:val="20"/>
                <w:szCs w:val="20"/>
              </w:rPr>
            </w:pPr>
          </w:p>
        </w:tc>
        <w:tc>
          <w:tcPr>
            <w:tcW w:w="3420" w:type="dxa"/>
          </w:tcPr>
          <w:p w14:paraId="5FCBC6B2" w14:textId="77777777" w:rsidR="000F03D3" w:rsidRPr="000F03D3" w:rsidRDefault="000F03D3" w:rsidP="00F14FE4">
            <w:pPr>
              <w:rPr>
                <w:rFonts w:ascii="Arial" w:hAnsi="Arial" w:cs="Arial"/>
                <w:sz w:val="20"/>
                <w:szCs w:val="20"/>
              </w:rPr>
            </w:pPr>
          </w:p>
        </w:tc>
      </w:tr>
    </w:tbl>
    <w:p w14:paraId="3C85DCC1" w14:textId="77777777" w:rsidR="000F03D3" w:rsidRDefault="000F03D3" w:rsidP="000F03D3"/>
    <w:p w14:paraId="6FCC4E2E" w14:textId="77777777" w:rsidR="00B968DB" w:rsidRPr="00B968DB" w:rsidRDefault="00B968DB" w:rsidP="00B968DB">
      <w:pPr>
        <w:pBdr>
          <w:bottom w:val="single" w:sz="12" w:space="0" w:color="003A5D"/>
        </w:pBdr>
        <w:spacing w:before="150" w:after="150" w:line="240" w:lineRule="auto"/>
        <w:outlineLvl w:val="0"/>
        <w:rPr>
          <w:rFonts w:ascii="Trebuchet MS" w:eastAsia="Times New Roman" w:hAnsi="Trebuchet MS" w:cs="Times New Roman"/>
          <w:b/>
          <w:bCs/>
          <w:caps/>
          <w:color w:val="003A5D"/>
          <w:kern w:val="36"/>
          <w:sz w:val="28"/>
          <w:szCs w:val="28"/>
        </w:rPr>
      </w:pPr>
      <w:bookmarkStart w:id="112" w:name="_Toc462918384"/>
      <w:r w:rsidRPr="00B968DB">
        <w:rPr>
          <w:rFonts w:ascii="Trebuchet MS" w:eastAsia="Times New Roman" w:hAnsi="Trebuchet MS" w:cs="Times New Roman"/>
          <w:b/>
          <w:bCs/>
          <w:caps/>
          <w:color w:val="003A5D"/>
          <w:kern w:val="36"/>
          <w:sz w:val="28"/>
          <w:szCs w:val="28"/>
        </w:rPr>
        <w:t>REFERENCES</w:t>
      </w:r>
      <w:bookmarkEnd w:id="112"/>
    </w:p>
    <w:p w14:paraId="3260EA47" w14:textId="7BACE401" w:rsidR="00B968DB" w:rsidRPr="00B968DB" w:rsidRDefault="00290C9D" w:rsidP="0050170F">
      <w:pPr>
        <w:spacing w:after="150" w:line="240" w:lineRule="auto"/>
        <w:rPr>
          <w:rFonts w:ascii="Times New Roman" w:eastAsia="Times New Roman" w:hAnsi="Times New Roman" w:cs="Times New Roman"/>
          <w:sz w:val="24"/>
          <w:szCs w:val="24"/>
        </w:rPr>
      </w:pPr>
      <w:r w:rsidRPr="005F2213">
        <w:rPr>
          <w:rFonts w:ascii="Arial" w:eastAsia="Times New Roman" w:hAnsi="Arial" w:cs="Arial"/>
          <w:sz w:val="20"/>
          <w:szCs w:val="20"/>
        </w:rPr>
        <w:t>[</w:t>
      </w:r>
      <w:r>
        <w:rPr>
          <w:rFonts w:ascii="Arial" w:eastAsia="Times New Roman" w:hAnsi="Arial" w:cs="Arial"/>
          <w:sz w:val="20"/>
          <w:szCs w:val="20"/>
        </w:rPr>
        <w:t>To be added later]</w:t>
      </w:r>
    </w:p>
    <w:p w14:paraId="4B087CDC" w14:textId="77777777" w:rsidR="00B968DB" w:rsidRPr="00B968DB" w:rsidRDefault="00B968DB" w:rsidP="00B968DB">
      <w:pPr>
        <w:pBdr>
          <w:bottom w:val="single" w:sz="12" w:space="0" w:color="003A5D"/>
        </w:pBdr>
        <w:spacing w:before="150" w:after="150" w:line="240" w:lineRule="auto"/>
        <w:outlineLvl w:val="0"/>
        <w:rPr>
          <w:rFonts w:ascii="Trebuchet MS" w:eastAsia="Times New Roman" w:hAnsi="Trebuchet MS" w:cs="Times New Roman"/>
          <w:b/>
          <w:bCs/>
          <w:caps/>
          <w:color w:val="003A5D"/>
          <w:kern w:val="36"/>
          <w:sz w:val="28"/>
          <w:szCs w:val="28"/>
        </w:rPr>
      </w:pPr>
      <w:bookmarkStart w:id="113" w:name="_Toc462918385"/>
      <w:r w:rsidRPr="00B968DB">
        <w:rPr>
          <w:rFonts w:ascii="Trebuchet MS" w:eastAsia="Times New Roman" w:hAnsi="Trebuchet MS" w:cs="Times New Roman"/>
          <w:b/>
          <w:bCs/>
          <w:caps/>
          <w:color w:val="003A5D"/>
          <w:kern w:val="36"/>
          <w:sz w:val="28"/>
          <w:szCs w:val="28"/>
        </w:rPr>
        <w:t>APPENDICES</w:t>
      </w:r>
      <w:bookmarkEnd w:id="113"/>
    </w:p>
    <w:p w14:paraId="7EB3F705" w14:textId="32B3F89E" w:rsidR="00290C9D" w:rsidRDefault="00B968DB" w:rsidP="00326A5A">
      <w:pPr>
        <w:pStyle w:val="ListParagraph"/>
        <w:numPr>
          <w:ilvl w:val="0"/>
          <w:numId w:val="9"/>
        </w:numPr>
        <w:spacing w:after="0" w:line="240" w:lineRule="auto"/>
        <w:rPr>
          <w:rFonts w:ascii="Arial" w:eastAsia="Times New Roman" w:hAnsi="Arial" w:cs="Arial"/>
          <w:color w:val="000000"/>
          <w:sz w:val="20"/>
          <w:szCs w:val="20"/>
        </w:rPr>
      </w:pPr>
      <w:r w:rsidRPr="00326A5A">
        <w:rPr>
          <w:rFonts w:ascii="Arial" w:eastAsia="Times New Roman" w:hAnsi="Arial" w:cs="Arial"/>
          <w:color w:val="000000"/>
          <w:sz w:val="20"/>
          <w:szCs w:val="20"/>
        </w:rPr>
        <w:t>Glossary </w:t>
      </w:r>
    </w:p>
    <w:p w14:paraId="27C66064" w14:textId="3D55A1C9" w:rsidR="00290C9D" w:rsidRDefault="00B968DB" w:rsidP="00290C9D">
      <w:pPr>
        <w:pStyle w:val="ListParagraph"/>
        <w:numPr>
          <w:ilvl w:val="0"/>
          <w:numId w:val="9"/>
        </w:numPr>
        <w:spacing w:after="0" w:line="240" w:lineRule="auto"/>
        <w:rPr>
          <w:rFonts w:ascii="Arial" w:eastAsia="Times New Roman" w:hAnsi="Arial" w:cs="Arial"/>
          <w:color w:val="000000"/>
          <w:sz w:val="20"/>
          <w:szCs w:val="20"/>
        </w:rPr>
      </w:pPr>
      <w:r w:rsidRPr="00326A5A">
        <w:rPr>
          <w:rFonts w:ascii="Arial" w:eastAsia="Times New Roman" w:hAnsi="Arial" w:cs="Arial"/>
          <w:color w:val="000000"/>
          <w:sz w:val="20"/>
          <w:szCs w:val="20"/>
        </w:rPr>
        <w:t>Pressure Sources and Stressors of Concern in the LIO </w:t>
      </w:r>
    </w:p>
    <w:p w14:paraId="1A3B421B" w14:textId="192C7470" w:rsidR="00290C9D" w:rsidRDefault="00290C9D" w:rsidP="00290C9D">
      <w:pPr>
        <w:pStyle w:val="ListParagraph"/>
        <w:numPr>
          <w:ilvl w:val="0"/>
          <w:numId w:val="9"/>
        </w:numPr>
        <w:spacing w:after="0" w:line="240" w:lineRule="auto"/>
        <w:rPr>
          <w:rFonts w:ascii="Arial" w:eastAsia="Times New Roman" w:hAnsi="Arial" w:cs="Arial"/>
          <w:color w:val="000000"/>
          <w:sz w:val="20"/>
          <w:szCs w:val="20"/>
        </w:rPr>
      </w:pPr>
      <w:r w:rsidRPr="00290C9D">
        <w:rPr>
          <w:rFonts w:ascii="Arial" w:eastAsia="Times New Roman" w:hAnsi="Arial" w:cs="Arial"/>
          <w:color w:val="000000"/>
          <w:sz w:val="20"/>
          <w:szCs w:val="20"/>
        </w:rPr>
        <w:t>C</w:t>
      </w:r>
      <w:r w:rsidR="00B968DB" w:rsidRPr="00290C9D">
        <w:rPr>
          <w:rFonts w:ascii="Arial" w:eastAsia="Times New Roman" w:hAnsi="Arial" w:cs="Arial"/>
          <w:color w:val="000000"/>
          <w:sz w:val="20"/>
          <w:szCs w:val="20"/>
        </w:rPr>
        <w:t>onceptual Models</w:t>
      </w:r>
    </w:p>
    <w:p w14:paraId="4068956E" w14:textId="597BAD0D" w:rsidR="00290C9D" w:rsidRDefault="00B968DB" w:rsidP="00290C9D">
      <w:pPr>
        <w:pStyle w:val="ListParagraph"/>
        <w:numPr>
          <w:ilvl w:val="0"/>
          <w:numId w:val="9"/>
        </w:numPr>
        <w:spacing w:after="0" w:line="240" w:lineRule="auto"/>
        <w:rPr>
          <w:rFonts w:ascii="Arial" w:eastAsia="Times New Roman" w:hAnsi="Arial" w:cs="Arial"/>
          <w:color w:val="000000"/>
          <w:sz w:val="20"/>
          <w:szCs w:val="20"/>
        </w:rPr>
      </w:pPr>
      <w:r w:rsidRPr="00290C9D">
        <w:rPr>
          <w:rFonts w:ascii="Arial" w:eastAsia="Times New Roman" w:hAnsi="Arial" w:cs="Arial"/>
          <w:color w:val="000000"/>
          <w:sz w:val="20"/>
          <w:szCs w:val="20"/>
        </w:rPr>
        <w:t>Results Chains</w:t>
      </w:r>
    </w:p>
    <w:p w14:paraId="286E1B93" w14:textId="2E881254" w:rsidR="009172FA" w:rsidRDefault="009172FA" w:rsidP="00290C9D">
      <w:pPr>
        <w:pStyle w:val="ListParagraph"/>
        <w:numPr>
          <w:ilvl w:val="0"/>
          <w:numId w:val="9"/>
        </w:numPr>
        <w:spacing w:after="0" w:line="240" w:lineRule="auto"/>
        <w:rPr>
          <w:rFonts w:ascii="Arial" w:eastAsia="Times New Roman" w:hAnsi="Arial" w:cs="Arial"/>
          <w:color w:val="000000"/>
          <w:sz w:val="20"/>
          <w:szCs w:val="20"/>
        </w:rPr>
      </w:pPr>
      <w:r w:rsidRPr="0096730F">
        <w:rPr>
          <w:rFonts w:ascii="Arial" w:eastAsia="Times New Roman" w:hAnsi="Arial" w:cs="Arial"/>
          <w:color w:val="003A5D"/>
          <w:sz w:val="20"/>
          <w:szCs w:val="20"/>
        </w:rPr>
        <w:t>Pressures and their relationship to Vital Signs and compo</w:t>
      </w:r>
      <w:r>
        <w:rPr>
          <w:rFonts w:ascii="Arial" w:eastAsia="Times New Roman" w:hAnsi="Arial" w:cs="Arial"/>
          <w:color w:val="003A5D"/>
          <w:sz w:val="20"/>
          <w:szCs w:val="20"/>
        </w:rPr>
        <w:t>nents</w:t>
      </w:r>
    </w:p>
    <w:p w14:paraId="115AD0ED" w14:textId="41DBCDAC" w:rsidR="00326A5A" w:rsidRPr="00290C9D" w:rsidRDefault="00326A5A" w:rsidP="00290C9D">
      <w:pPr>
        <w:pStyle w:val="ListParagraph"/>
        <w:numPr>
          <w:ilvl w:val="0"/>
          <w:numId w:val="9"/>
        </w:numPr>
        <w:spacing w:after="0" w:line="240" w:lineRule="auto"/>
        <w:rPr>
          <w:rFonts w:ascii="Arial" w:eastAsia="Times New Roman" w:hAnsi="Arial" w:cs="Arial"/>
          <w:color w:val="000000"/>
          <w:sz w:val="20"/>
          <w:szCs w:val="20"/>
        </w:rPr>
      </w:pPr>
      <w:r w:rsidRPr="00290C9D">
        <w:rPr>
          <w:rFonts w:ascii="Arial" w:eastAsia="Times New Roman" w:hAnsi="Arial" w:cs="Arial"/>
          <w:color w:val="000000"/>
          <w:sz w:val="20"/>
          <w:szCs w:val="20"/>
        </w:rPr>
        <w:t>South Sound Strategy Document</w:t>
      </w:r>
    </w:p>
    <w:p w14:paraId="43F0A530" w14:textId="77777777" w:rsidR="00EB0781" w:rsidRDefault="00EB0781" w:rsidP="00C25671">
      <w:pPr>
        <w:sectPr w:rsidR="00EB0781" w:rsidSect="00A97A55">
          <w:pgSz w:w="15840" w:h="12240" w:orient="landscape"/>
          <w:pgMar w:top="1440" w:right="1440" w:bottom="1440" w:left="1440" w:header="720" w:footer="720" w:gutter="0"/>
          <w:cols w:space="720"/>
          <w:docGrid w:linePitch="360"/>
        </w:sectPr>
      </w:pPr>
    </w:p>
    <w:p w14:paraId="4AA38547" w14:textId="78AAA6AF"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lastRenderedPageBreak/>
        <w:t>A. GLOSSARY</w:t>
      </w:r>
    </w:p>
    <w:p w14:paraId="7E3CCF14"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u w:val="single"/>
        </w:rPr>
        <w:t>Ecosystem or human wellbeing components (components)</w:t>
      </w:r>
      <w:r w:rsidRPr="00EB0781">
        <w:rPr>
          <w:rFonts w:ascii="Arial" w:eastAsia="Times New Roman" w:hAnsi="Arial" w:cs="Arial"/>
          <w:color w:val="003A5D"/>
          <w:sz w:val="20"/>
          <w:szCs w:val="20"/>
        </w:rPr>
        <w:t> are the things we care about conserving. They can be individual species, habitat types, ecological processes, or ecosystems chosen to encompass the full breadth of conservation objectives for a specific project. Human wellbeing components are those aspects of human wellbeing related to the natural environment that are the focus of recovery efforts or will benefit from recovery of the ecosystem in the LIO. </w:t>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rPr>
        <w:br/>
        <w:t>A </w:t>
      </w:r>
      <w:r w:rsidRPr="00EB0781">
        <w:rPr>
          <w:rFonts w:ascii="Arial" w:eastAsia="Times New Roman" w:hAnsi="Arial" w:cs="Arial"/>
          <w:color w:val="003A5D"/>
          <w:sz w:val="20"/>
          <w:szCs w:val="20"/>
          <w:u w:val="single"/>
        </w:rPr>
        <w:t>goal</w:t>
      </w:r>
      <w:r w:rsidRPr="00EB0781">
        <w:rPr>
          <w:rFonts w:ascii="Arial" w:eastAsia="Times New Roman" w:hAnsi="Arial" w:cs="Arial"/>
          <w:color w:val="003A5D"/>
          <w:sz w:val="20"/>
          <w:szCs w:val="20"/>
        </w:rPr>
        <w:t> is a desired future condition of a habitat, species, or attribute of human wellbeing.</w:t>
      </w:r>
    </w:p>
    <w:p w14:paraId="7DE12DBE" w14:textId="45C9750B"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Pr>
          <w:rFonts w:ascii="Trebuchet MS" w:eastAsia="Times New Roman" w:hAnsi="Trebuchet MS" w:cs="Times New Roman"/>
          <w:b/>
          <w:bCs/>
          <w:color w:val="003A5D"/>
          <w:sz w:val="24"/>
          <w:szCs w:val="24"/>
        </w:rPr>
        <w:t>B</w:t>
      </w:r>
      <w:r w:rsidRPr="00EB0781">
        <w:rPr>
          <w:rFonts w:ascii="Trebuchet MS" w:eastAsia="Times New Roman" w:hAnsi="Trebuchet MS" w:cs="Times New Roman"/>
          <w:b/>
          <w:bCs/>
          <w:color w:val="003A5D"/>
          <w:sz w:val="24"/>
          <w:szCs w:val="24"/>
        </w:rPr>
        <w:t>. PRESSURE SOURCES AND STRESSORS OF CONCERN IN THE LIO</w:t>
      </w:r>
    </w:p>
    <w:tbl>
      <w:tblPr>
        <w:tblW w:w="17480" w:type="dxa"/>
        <w:tblBorders>
          <w:top w:val="single" w:sz="4" w:space="0" w:color="1F4E79" w:themeColor="accent1" w:themeShade="80"/>
          <w:left w:val="single" w:sz="4" w:space="0" w:color="1F4E79" w:themeColor="accent1" w:themeShade="80"/>
          <w:bottom w:val="single" w:sz="4" w:space="0" w:color="1F4E79" w:themeColor="accent1" w:themeShade="80"/>
          <w:right w:val="single" w:sz="4" w:space="0" w:color="1F4E79" w:themeColor="accent1" w:themeShade="80"/>
          <w:insideH w:val="single" w:sz="4" w:space="0" w:color="1F4E79" w:themeColor="accent1" w:themeShade="80"/>
          <w:insideV w:val="single" w:sz="4" w:space="0" w:color="1F4E79" w:themeColor="accent1" w:themeShade="80"/>
        </w:tblBorders>
        <w:tblLook w:val="04A0" w:firstRow="1" w:lastRow="0" w:firstColumn="1" w:lastColumn="0" w:noHBand="0" w:noVBand="1"/>
      </w:tblPr>
      <w:tblGrid>
        <w:gridCol w:w="1540"/>
        <w:gridCol w:w="1300"/>
        <w:gridCol w:w="5140"/>
        <w:gridCol w:w="9500"/>
      </w:tblGrid>
      <w:tr w:rsidR="001050A0" w:rsidRPr="001050A0" w14:paraId="2826EFBC" w14:textId="77777777" w:rsidTr="001050A0">
        <w:trPr>
          <w:trHeight w:val="476"/>
        </w:trPr>
        <w:tc>
          <w:tcPr>
            <w:tcW w:w="1540" w:type="dxa"/>
            <w:shd w:val="clear" w:color="auto" w:fill="DEEAF6" w:themeFill="accent1" w:themeFillTint="33"/>
            <w:hideMark/>
          </w:tcPr>
          <w:p w14:paraId="01E2D44F" w14:textId="77777777" w:rsidR="001050A0" w:rsidRPr="001050A0" w:rsidRDefault="001050A0" w:rsidP="001050A0">
            <w:pPr>
              <w:spacing w:after="0" w:line="240" w:lineRule="auto"/>
              <w:rPr>
                <w:rFonts w:ascii="Calibri" w:eastAsia="Times New Roman" w:hAnsi="Calibri" w:cs="Times New Roman"/>
                <w:b/>
                <w:bCs/>
                <w:color w:val="000000"/>
              </w:rPr>
            </w:pPr>
            <w:r w:rsidRPr="001050A0">
              <w:rPr>
                <w:rFonts w:ascii="Calibri" w:eastAsia="Times New Roman" w:hAnsi="Calibri" w:cs="Times New Roman"/>
                <w:b/>
                <w:bCs/>
                <w:color w:val="000000"/>
              </w:rPr>
              <w:t>Factor</w:t>
            </w:r>
          </w:p>
        </w:tc>
        <w:tc>
          <w:tcPr>
            <w:tcW w:w="1300" w:type="dxa"/>
            <w:shd w:val="clear" w:color="auto" w:fill="DEEAF6" w:themeFill="accent1" w:themeFillTint="33"/>
            <w:hideMark/>
          </w:tcPr>
          <w:p w14:paraId="75F78D0C" w14:textId="77777777" w:rsidR="001050A0" w:rsidRPr="001050A0" w:rsidRDefault="001050A0" w:rsidP="001050A0">
            <w:pPr>
              <w:spacing w:after="0" w:line="240" w:lineRule="auto"/>
              <w:rPr>
                <w:rFonts w:ascii="Calibri" w:eastAsia="Times New Roman" w:hAnsi="Calibri" w:cs="Times New Roman"/>
                <w:b/>
                <w:bCs/>
                <w:color w:val="000000"/>
              </w:rPr>
            </w:pPr>
            <w:r w:rsidRPr="001050A0">
              <w:rPr>
                <w:rFonts w:ascii="Calibri" w:eastAsia="Times New Roman" w:hAnsi="Calibri" w:cs="Times New Roman"/>
                <w:b/>
                <w:bCs/>
                <w:color w:val="000000"/>
              </w:rPr>
              <w:t>Identifier</w:t>
            </w:r>
          </w:p>
        </w:tc>
        <w:tc>
          <w:tcPr>
            <w:tcW w:w="5140" w:type="dxa"/>
            <w:shd w:val="clear" w:color="auto" w:fill="DEEAF6" w:themeFill="accent1" w:themeFillTint="33"/>
            <w:hideMark/>
          </w:tcPr>
          <w:p w14:paraId="34EB07F6" w14:textId="77777777" w:rsidR="001050A0" w:rsidRPr="001050A0" w:rsidRDefault="001050A0" w:rsidP="001050A0">
            <w:pPr>
              <w:spacing w:after="0" w:line="240" w:lineRule="auto"/>
              <w:rPr>
                <w:rFonts w:ascii="Calibri" w:eastAsia="Times New Roman" w:hAnsi="Calibri" w:cs="Times New Roman"/>
                <w:b/>
                <w:bCs/>
                <w:color w:val="000000"/>
              </w:rPr>
            </w:pPr>
            <w:r w:rsidRPr="001050A0">
              <w:rPr>
                <w:rFonts w:ascii="Calibri" w:eastAsia="Times New Roman" w:hAnsi="Calibri" w:cs="Times New Roman"/>
                <w:b/>
                <w:bCs/>
                <w:color w:val="000000"/>
              </w:rPr>
              <w:t>Name</w:t>
            </w:r>
          </w:p>
        </w:tc>
        <w:tc>
          <w:tcPr>
            <w:tcW w:w="9500" w:type="dxa"/>
            <w:shd w:val="clear" w:color="auto" w:fill="DEEAF6" w:themeFill="accent1" w:themeFillTint="33"/>
            <w:hideMark/>
          </w:tcPr>
          <w:p w14:paraId="379D49DA" w14:textId="77777777" w:rsidR="001050A0" w:rsidRPr="001050A0" w:rsidRDefault="001050A0" w:rsidP="001050A0">
            <w:pPr>
              <w:spacing w:after="0" w:line="240" w:lineRule="auto"/>
              <w:rPr>
                <w:rFonts w:ascii="Calibri" w:eastAsia="Times New Roman" w:hAnsi="Calibri" w:cs="Times New Roman"/>
                <w:b/>
                <w:bCs/>
                <w:color w:val="000000"/>
              </w:rPr>
            </w:pPr>
            <w:r w:rsidRPr="001050A0">
              <w:rPr>
                <w:rFonts w:ascii="Calibri" w:eastAsia="Times New Roman" w:hAnsi="Calibri" w:cs="Times New Roman"/>
                <w:b/>
                <w:bCs/>
                <w:color w:val="000000"/>
              </w:rPr>
              <w:t>Details</w:t>
            </w:r>
          </w:p>
        </w:tc>
      </w:tr>
      <w:tr w:rsidR="001050A0" w:rsidRPr="001050A0" w14:paraId="6853F2F5" w14:textId="77777777" w:rsidTr="001050A0">
        <w:trPr>
          <w:trHeight w:val="975"/>
        </w:trPr>
        <w:tc>
          <w:tcPr>
            <w:tcW w:w="1540" w:type="dxa"/>
            <w:shd w:val="clear" w:color="auto" w:fill="auto"/>
            <w:hideMark/>
          </w:tcPr>
          <w:p w14:paraId="78C7DA5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260FE35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7.3</w:t>
            </w:r>
          </w:p>
        </w:tc>
        <w:tc>
          <w:tcPr>
            <w:tcW w:w="5140" w:type="dxa"/>
            <w:shd w:val="clear" w:color="auto" w:fill="auto"/>
            <w:hideMark/>
          </w:tcPr>
          <w:p w14:paraId="4A907EC1"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Freshwater shoreline infrastructure</w:t>
            </w:r>
          </w:p>
        </w:tc>
        <w:tc>
          <w:tcPr>
            <w:tcW w:w="9500" w:type="dxa"/>
            <w:shd w:val="clear" w:color="auto" w:fill="auto"/>
            <w:hideMark/>
          </w:tcPr>
          <w:p w14:paraId="245B944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Armoring of freshwater shorelines and overwater structures that alter, destroy, and disturb habitats and species via a nonconsumptive use, including industrial, commercial, and recreational marinas, ports and shipyards. Runoff from impervious surfaces or other water pollution should go in 9.1.</w:t>
            </w:r>
          </w:p>
        </w:tc>
      </w:tr>
      <w:tr w:rsidR="001050A0" w:rsidRPr="001050A0" w14:paraId="0C83AE1D" w14:textId="77777777" w:rsidTr="001050A0">
        <w:trPr>
          <w:trHeight w:val="975"/>
        </w:trPr>
        <w:tc>
          <w:tcPr>
            <w:tcW w:w="1540" w:type="dxa"/>
            <w:shd w:val="clear" w:color="auto" w:fill="auto"/>
            <w:hideMark/>
          </w:tcPr>
          <w:p w14:paraId="779C7D50"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49805DD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9.5</w:t>
            </w:r>
          </w:p>
        </w:tc>
        <w:tc>
          <w:tcPr>
            <w:tcW w:w="5140" w:type="dxa"/>
            <w:shd w:val="clear" w:color="auto" w:fill="auto"/>
            <w:hideMark/>
          </w:tcPr>
          <w:p w14:paraId="5C9E1EE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Air-Borne Pollutants</w:t>
            </w:r>
          </w:p>
        </w:tc>
        <w:tc>
          <w:tcPr>
            <w:tcW w:w="9500" w:type="dxa"/>
            <w:shd w:val="clear" w:color="auto" w:fill="auto"/>
            <w:hideMark/>
          </w:tcPr>
          <w:p w14:paraId="3915986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Atmospheric pollutants from stationary and mobile sources This class includes smog and ozone, the specific sources of which can be difficult to determine and difficult to address. Examples: smog from vehicle emissions, factory smoke emissions, coal burning, wind dispersion of pollutants or sediments, smoke from forest fires or wood stoves, etc. Associated stressors can include acid rain, excess nitrogen deposition, radioactive fallout</w:t>
            </w:r>
          </w:p>
        </w:tc>
      </w:tr>
      <w:tr w:rsidR="001050A0" w:rsidRPr="001050A0" w14:paraId="6A2398D4" w14:textId="77777777" w:rsidTr="001050A0">
        <w:trPr>
          <w:trHeight w:val="975"/>
        </w:trPr>
        <w:tc>
          <w:tcPr>
            <w:tcW w:w="1540" w:type="dxa"/>
            <w:shd w:val="clear" w:color="auto" w:fill="auto"/>
            <w:hideMark/>
          </w:tcPr>
          <w:p w14:paraId="32BB3F1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547023C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7.2.4</w:t>
            </w:r>
          </w:p>
        </w:tc>
        <w:tc>
          <w:tcPr>
            <w:tcW w:w="5140" w:type="dxa"/>
            <w:shd w:val="clear" w:color="auto" w:fill="auto"/>
            <w:hideMark/>
          </w:tcPr>
          <w:p w14:paraId="6D1A767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Freshwater Levees, Floodgates, Tidegates</w:t>
            </w:r>
          </w:p>
        </w:tc>
        <w:tc>
          <w:tcPr>
            <w:tcW w:w="9500" w:type="dxa"/>
            <w:shd w:val="clear" w:color="auto" w:fill="auto"/>
            <w:hideMark/>
          </w:tcPr>
          <w:p w14:paraId="2B40A5C1"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Levees &amp; floodgates along freshwater systems to manage the hydrologic flow in a system Impacts associated with levees and floodgates include conversion/loss or degradation of habitat, altered hydrology, and altered connectivity</w:t>
            </w:r>
          </w:p>
        </w:tc>
      </w:tr>
      <w:tr w:rsidR="001050A0" w:rsidRPr="001050A0" w14:paraId="6650DE65" w14:textId="77777777" w:rsidTr="001050A0">
        <w:trPr>
          <w:trHeight w:val="975"/>
        </w:trPr>
        <w:tc>
          <w:tcPr>
            <w:tcW w:w="1540" w:type="dxa"/>
            <w:shd w:val="clear" w:color="auto" w:fill="auto"/>
            <w:hideMark/>
          </w:tcPr>
          <w:p w14:paraId="72AAF44C"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236B0E6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9.2.4</w:t>
            </w:r>
          </w:p>
        </w:tc>
        <w:tc>
          <w:tcPr>
            <w:tcW w:w="5140" w:type="dxa"/>
            <w:shd w:val="clear" w:color="auto" w:fill="auto"/>
            <w:hideMark/>
          </w:tcPr>
          <w:p w14:paraId="5D147CE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Industrial Runoff</w:t>
            </w:r>
          </w:p>
        </w:tc>
        <w:tc>
          <w:tcPr>
            <w:tcW w:w="9500" w:type="dxa"/>
            <w:shd w:val="clear" w:color="auto" w:fill="auto"/>
            <w:hideMark/>
          </w:tcPr>
          <w:p w14:paraId="7609856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Introduction of exotic or excess material into hydrologic system due to surface water loading and runoff from industrial lands This class includes runoff from industrial facilities and lands. Runoff from other lands (residential and commercial) goes in 9.1.2. Loading from septic systems (OSS) goes in 9.1.1.2, combined sewer overflows (CSOs) goes in 9.1.1.1, runoff from other activities (e.g. agriculture, timber harvest) goes in 9.3, and industrial runoff goes in 9.2.4.</w:t>
            </w:r>
          </w:p>
        </w:tc>
      </w:tr>
      <w:tr w:rsidR="001050A0" w:rsidRPr="001050A0" w14:paraId="1BE1B0E4" w14:textId="77777777" w:rsidTr="001050A0">
        <w:trPr>
          <w:trHeight w:val="975"/>
        </w:trPr>
        <w:tc>
          <w:tcPr>
            <w:tcW w:w="1540" w:type="dxa"/>
            <w:shd w:val="clear" w:color="auto" w:fill="auto"/>
            <w:hideMark/>
          </w:tcPr>
          <w:p w14:paraId="4770B84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4A59A79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1.1</w:t>
            </w:r>
          </w:p>
        </w:tc>
        <w:tc>
          <w:tcPr>
            <w:tcW w:w="5140" w:type="dxa"/>
            <w:shd w:val="clear" w:color="auto" w:fill="auto"/>
            <w:hideMark/>
          </w:tcPr>
          <w:p w14:paraId="6C7E85F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Housing &amp; Urban Areas</w:t>
            </w:r>
          </w:p>
        </w:tc>
        <w:tc>
          <w:tcPr>
            <w:tcW w:w="9500" w:type="dxa"/>
            <w:shd w:val="clear" w:color="auto" w:fill="auto"/>
            <w:hideMark/>
          </w:tcPr>
          <w:p w14:paraId="4CE5830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Human cities, towns, and settlements including non-housing development typically integrated with housing This class dovetails with 1.2 Commercial and Industrial Areas (including ports). As a general rule, however, if people live in the development, it should fall into this source class. This class does not include transportation and utility infrastructure, water use, shoreline armoring and overwater structures, or runoff and other pollution associated with any developed areas (see 4, 7, and 9). Examples: urban areas, suburbs, villages, ranchettes, vacation homes, shopping areas, offices, schools, hospitals, land reclamation or expanding human habitation that causes habitat conversion or degradation in riverine, estuary and coastal areas, etc.</w:t>
            </w:r>
          </w:p>
        </w:tc>
      </w:tr>
      <w:tr w:rsidR="001050A0" w:rsidRPr="001050A0" w14:paraId="4A4098C3" w14:textId="77777777" w:rsidTr="001050A0">
        <w:trPr>
          <w:trHeight w:val="449"/>
        </w:trPr>
        <w:tc>
          <w:tcPr>
            <w:tcW w:w="1540" w:type="dxa"/>
            <w:shd w:val="clear" w:color="auto" w:fill="auto"/>
            <w:hideMark/>
          </w:tcPr>
          <w:p w14:paraId="3C4BD78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4497E81A"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2.1</w:t>
            </w:r>
          </w:p>
        </w:tc>
        <w:tc>
          <w:tcPr>
            <w:tcW w:w="5140" w:type="dxa"/>
            <w:shd w:val="clear" w:color="auto" w:fill="auto"/>
            <w:hideMark/>
          </w:tcPr>
          <w:p w14:paraId="12AFFEAC"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Annual &amp; Perennial Non-Timber Crops</w:t>
            </w:r>
          </w:p>
        </w:tc>
        <w:tc>
          <w:tcPr>
            <w:tcW w:w="9500" w:type="dxa"/>
            <w:shd w:val="clear" w:color="auto" w:fill="auto"/>
            <w:hideMark/>
          </w:tcPr>
          <w:p w14:paraId="04C9BC11"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Crops planted for food, fodder, fiber, fuel, or other uses This class includes small-holder farming, agro-industry farming, and rotating agriculture.</w:t>
            </w:r>
          </w:p>
        </w:tc>
      </w:tr>
      <w:tr w:rsidR="001050A0" w:rsidRPr="001050A0" w14:paraId="52159F3D" w14:textId="77777777" w:rsidTr="001050A0">
        <w:trPr>
          <w:trHeight w:val="975"/>
        </w:trPr>
        <w:tc>
          <w:tcPr>
            <w:tcW w:w="1540" w:type="dxa"/>
            <w:shd w:val="clear" w:color="auto" w:fill="auto"/>
            <w:hideMark/>
          </w:tcPr>
          <w:p w14:paraId="2B3160B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2057E0D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1.2</w:t>
            </w:r>
          </w:p>
        </w:tc>
        <w:tc>
          <w:tcPr>
            <w:tcW w:w="5140" w:type="dxa"/>
            <w:shd w:val="clear" w:color="auto" w:fill="auto"/>
            <w:hideMark/>
          </w:tcPr>
          <w:p w14:paraId="665A415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Commercial &amp; Industrial Areas (Including Ports)</w:t>
            </w:r>
          </w:p>
        </w:tc>
        <w:tc>
          <w:tcPr>
            <w:tcW w:w="9500" w:type="dxa"/>
            <w:shd w:val="clear" w:color="auto" w:fill="auto"/>
            <w:hideMark/>
          </w:tcPr>
          <w:p w14:paraId="2F89BC9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Factories and other commercial centers Shipyards and airports fall into this class, whereas shipping lanes and flight paths fall under 4. Transportation &amp; Service Corridors. Overwater structures and shoreline armoring associated with marinas and ports full under 7 Natural System Modifications. Water use and dams are also covered under 7 Natural System Modifications. For runoff and other pollution associated with commercial and industrial areas, see 9. Pollution. Examples: military bases, factories, stand-alone shopping centers, office parks, power plants, train yards, ship yards, ports, airports, landfills, etc.</w:t>
            </w:r>
          </w:p>
        </w:tc>
      </w:tr>
      <w:tr w:rsidR="001050A0" w:rsidRPr="001050A0" w14:paraId="2DEDEF69" w14:textId="77777777" w:rsidTr="001050A0">
        <w:trPr>
          <w:trHeight w:val="975"/>
        </w:trPr>
        <w:tc>
          <w:tcPr>
            <w:tcW w:w="1540" w:type="dxa"/>
            <w:shd w:val="clear" w:color="auto" w:fill="auto"/>
            <w:hideMark/>
          </w:tcPr>
          <w:p w14:paraId="228AB69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lastRenderedPageBreak/>
              <w:t>Direct Threat</w:t>
            </w:r>
          </w:p>
        </w:tc>
        <w:tc>
          <w:tcPr>
            <w:tcW w:w="1300" w:type="dxa"/>
            <w:shd w:val="clear" w:color="auto" w:fill="auto"/>
            <w:hideMark/>
          </w:tcPr>
          <w:p w14:paraId="3E8B60A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9.1.2</w:t>
            </w:r>
          </w:p>
        </w:tc>
        <w:tc>
          <w:tcPr>
            <w:tcW w:w="5140" w:type="dxa"/>
            <w:shd w:val="clear" w:color="auto" w:fill="auto"/>
            <w:hideMark/>
          </w:tcPr>
          <w:p w14:paraId="0407971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Runoff from residential and commercial lands</w:t>
            </w:r>
          </w:p>
        </w:tc>
        <w:tc>
          <w:tcPr>
            <w:tcW w:w="9500" w:type="dxa"/>
            <w:shd w:val="clear" w:color="auto" w:fill="auto"/>
            <w:hideMark/>
          </w:tcPr>
          <w:p w14:paraId="323B746B"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Introduction of exotic or excess material into hydrologic system due to surface water loading and runoff from the built environment This class includes runoff from commercial and residential lands, transportation facilities and corridors, as well as hull-cleaning and other pollution from marina infrastructure and land-based boat maintenance practices (i.e. NPDES regulated activities that occur in marinas and shipyards). Loading from septic systems (OSS) goes in 9.1.1.2, combined sewer overflows (CSOs) goes in 9.1.1.1, runoff from other activities (e.g. agriculture, timber harvest) goes in 9.3, and industrial runoff goes in 9.2.4.</w:t>
            </w:r>
          </w:p>
        </w:tc>
      </w:tr>
      <w:tr w:rsidR="001050A0" w:rsidRPr="001050A0" w14:paraId="011E8B99" w14:textId="77777777" w:rsidTr="001050A0">
        <w:trPr>
          <w:trHeight w:val="975"/>
        </w:trPr>
        <w:tc>
          <w:tcPr>
            <w:tcW w:w="1540" w:type="dxa"/>
            <w:shd w:val="clear" w:color="auto" w:fill="auto"/>
            <w:hideMark/>
          </w:tcPr>
          <w:p w14:paraId="1C064E0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38EB8BC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1.3</w:t>
            </w:r>
          </w:p>
        </w:tc>
        <w:tc>
          <w:tcPr>
            <w:tcW w:w="5140" w:type="dxa"/>
            <w:shd w:val="clear" w:color="auto" w:fill="auto"/>
            <w:hideMark/>
          </w:tcPr>
          <w:p w14:paraId="3F5E1E1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Tourism &amp; Recreation Areas</w:t>
            </w:r>
          </w:p>
        </w:tc>
        <w:tc>
          <w:tcPr>
            <w:tcW w:w="9500" w:type="dxa"/>
            <w:shd w:val="clear" w:color="auto" w:fill="auto"/>
            <w:hideMark/>
          </w:tcPr>
          <w:p w14:paraId="18B55F8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Tourism and recreation sites with a substantial footprint This class includes vacation housing/resorts and associated habitat effects of recreation areas. However, disturbance effects posed by recreational activities outside the footprint of developed areas are included in 6.1 Recreational Activities. Examples: ski areas, golf courses, resorts, ball fields, county parks, campgrounds, coastal and estuarine tourist resorts, etc.</w:t>
            </w:r>
          </w:p>
        </w:tc>
      </w:tr>
      <w:tr w:rsidR="001050A0" w:rsidRPr="001050A0" w14:paraId="3988BB02" w14:textId="77777777" w:rsidTr="001050A0">
        <w:trPr>
          <w:trHeight w:val="161"/>
        </w:trPr>
        <w:tc>
          <w:tcPr>
            <w:tcW w:w="1540" w:type="dxa"/>
            <w:shd w:val="clear" w:color="auto" w:fill="auto"/>
            <w:hideMark/>
          </w:tcPr>
          <w:p w14:paraId="0BDE1FF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637DD140"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7.2.1</w:t>
            </w:r>
          </w:p>
        </w:tc>
        <w:tc>
          <w:tcPr>
            <w:tcW w:w="5140" w:type="dxa"/>
            <w:shd w:val="clear" w:color="auto" w:fill="auto"/>
            <w:hideMark/>
          </w:tcPr>
          <w:p w14:paraId="6CD16D4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Abstraction of surface water</w:t>
            </w:r>
          </w:p>
        </w:tc>
        <w:tc>
          <w:tcPr>
            <w:tcW w:w="9500" w:type="dxa"/>
            <w:shd w:val="clear" w:color="auto" w:fill="auto"/>
            <w:hideMark/>
          </w:tcPr>
          <w:p w14:paraId="39597FC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Diverting or withdrawing surface water</w:t>
            </w:r>
          </w:p>
        </w:tc>
      </w:tr>
      <w:tr w:rsidR="001050A0" w:rsidRPr="001050A0" w14:paraId="10CE6D09" w14:textId="77777777" w:rsidTr="001050A0">
        <w:trPr>
          <w:trHeight w:val="975"/>
        </w:trPr>
        <w:tc>
          <w:tcPr>
            <w:tcW w:w="1540" w:type="dxa"/>
            <w:shd w:val="clear" w:color="auto" w:fill="auto"/>
            <w:hideMark/>
          </w:tcPr>
          <w:p w14:paraId="4D7B05E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039E6861"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4.3</w:t>
            </w:r>
          </w:p>
        </w:tc>
        <w:tc>
          <w:tcPr>
            <w:tcW w:w="5140" w:type="dxa"/>
            <w:shd w:val="clear" w:color="auto" w:fill="auto"/>
            <w:hideMark/>
          </w:tcPr>
          <w:p w14:paraId="6F17159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Shipping Lanes and Dredged Waterways</w:t>
            </w:r>
          </w:p>
        </w:tc>
        <w:tc>
          <w:tcPr>
            <w:tcW w:w="9500" w:type="dxa"/>
            <w:shd w:val="clear" w:color="auto" w:fill="auto"/>
            <w:hideMark/>
          </w:tcPr>
          <w:p w14:paraId="63A3750D" w14:textId="32D27AAB"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Transport on and in freshwater and ocean waterways</w:t>
            </w:r>
            <w:r>
              <w:rPr>
                <w:rFonts w:ascii="Calibri" w:eastAsia="Times New Roman" w:hAnsi="Calibri" w:cs="Times New Roman"/>
                <w:color w:val="000000"/>
              </w:rPr>
              <w:t xml:space="preserve">. </w:t>
            </w:r>
            <w:r w:rsidRPr="001050A0">
              <w:rPr>
                <w:rFonts w:ascii="Calibri" w:eastAsia="Times New Roman" w:hAnsi="Calibri" w:cs="Times New Roman"/>
                <w:color w:val="000000"/>
              </w:rPr>
              <w:t>This class includes vessel traffic as well as dredging and other activities that maintain shipping lanes. Wastewater discharge from tugs and non-military cargo vessels is also included here. Anchor damage from dive boats belongs in 6.1 Recreational Activities. Oil spills from ships should go in 9.2 Industrial &amp; Military Effluents.</w:t>
            </w:r>
            <w:r>
              <w:rPr>
                <w:rFonts w:ascii="Calibri" w:eastAsia="Times New Roman" w:hAnsi="Calibri" w:cs="Times New Roman"/>
                <w:color w:val="000000"/>
              </w:rPr>
              <w:t xml:space="preserve"> </w:t>
            </w:r>
            <w:r w:rsidRPr="001050A0">
              <w:rPr>
                <w:rFonts w:ascii="Calibri" w:eastAsia="Times New Roman" w:hAnsi="Calibri" w:cs="Times New Roman"/>
                <w:color w:val="000000"/>
              </w:rPr>
              <w:t>Examples: canals, shipping lanes, whale-watching routes, wakes from cargo ships, etc.</w:t>
            </w:r>
          </w:p>
        </w:tc>
      </w:tr>
      <w:tr w:rsidR="001050A0" w:rsidRPr="001050A0" w14:paraId="7CF54818" w14:textId="77777777" w:rsidTr="001050A0">
        <w:trPr>
          <w:trHeight w:val="975"/>
        </w:trPr>
        <w:tc>
          <w:tcPr>
            <w:tcW w:w="1540" w:type="dxa"/>
            <w:shd w:val="clear" w:color="auto" w:fill="auto"/>
            <w:hideMark/>
          </w:tcPr>
          <w:p w14:paraId="5A39A8AB"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71087D0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2.3</w:t>
            </w:r>
          </w:p>
        </w:tc>
        <w:tc>
          <w:tcPr>
            <w:tcW w:w="5140" w:type="dxa"/>
            <w:shd w:val="clear" w:color="auto" w:fill="auto"/>
            <w:hideMark/>
          </w:tcPr>
          <w:p w14:paraId="6DB0D49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Livestock Farming &amp; Ranching</w:t>
            </w:r>
          </w:p>
        </w:tc>
        <w:tc>
          <w:tcPr>
            <w:tcW w:w="9500" w:type="dxa"/>
            <w:shd w:val="clear" w:color="auto" w:fill="auto"/>
            <w:hideMark/>
          </w:tcPr>
          <w:p w14:paraId="33D7E83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Domestic terrestrial animals raised in one location on farmed or non-local resources (farming); also domestic or semi-domesticated animals allowed to roam in the wild and supported by natural habitats (ranching) This class includes small-holder grazing, ranching or farming, and agro-industry grazing, ranching and farming, and nomadic grazing. In farming, animals are kept in captivity; in ranching they are allowed to roam in wild habitats. Forage of wild resources for stall-fed animals falls under 5.2 Gathering Terrestrial Plants. If a few animals are mixed in a subsistence cropping system, it belongs in 2.1 Annual &amp; Perennial Non-Timber Crops.</w:t>
            </w:r>
          </w:p>
        </w:tc>
      </w:tr>
      <w:tr w:rsidR="001050A0" w:rsidRPr="001050A0" w14:paraId="319DB4DE" w14:textId="77777777" w:rsidTr="001050A0">
        <w:trPr>
          <w:trHeight w:val="975"/>
        </w:trPr>
        <w:tc>
          <w:tcPr>
            <w:tcW w:w="1540" w:type="dxa"/>
            <w:shd w:val="clear" w:color="auto" w:fill="auto"/>
            <w:hideMark/>
          </w:tcPr>
          <w:p w14:paraId="68DBBC0C"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50CA17F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7.2.3</w:t>
            </w:r>
          </w:p>
        </w:tc>
        <w:tc>
          <w:tcPr>
            <w:tcW w:w="5140" w:type="dxa"/>
            <w:shd w:val="clear" w:color="auto" w:fill="auto"/>
            <w:hideMark/>
          </w:tcPr>
          <w:p w14:paraId="74061F04"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Dams</w:t>
            </w:r>
          </w:p>
        </w:tc>
        <w:tc>
          <w:tcPr>
            <w:tcW w:w="9500" w:type="dxa"/>
            <w:shd w:val="clear" w:color="auto" w:fill="auto"/>
            <w:hideMark/>
          </w:tcPr>
          <w:p w14:paraId="29E0D6D0"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Construction or operation of dams used to generate hydropower or manage how and when water flows through a system Impacts associated with dams include conversion/loss or degradation of habitat, altered hydrology, and altered connectivity</w:t>
            </w:r>
          </w:p>
        </w:tc>
      </w:tr>
      <w:tr w:rsidR="001050A0" w:rsidRPr="001050A0" w14:paraId="41728B54" w14:textId="77777777" w:rsidTr="001050A0">
        <w:trPr>
          <w:trHeight w:val="611"/>
        </w:trPr>
        <w:tc>
          <w:tcPr>
            <w:tcW w:w="1540" w:type="dxa"/>
            <w:shd w:val="clear" w:color="auto" w:fill="auto"/>
            <w:hideMark/>
          </w:tcPr>
          <w:p w14:paraId="0A30712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7F72C4F4"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7.4</w:t>
            </w:r>
          </w:p>
        </w:tc>
        <w:tc>
          <w:tcPr>
            <w:tcW w:w="5140" w:type="dxa"/>
            <w:shd w:val="clear" w:color="auto" w:fill="auto"/>
            <w:hideMark/>
          </w:tcPr>
          <w:p w14:paraId="70FABD4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Marine shoreline infrastructure</w:t>
            </w:r>
          </w:p>
        </w:tc>
        <w:tc>
          <w:tcPr>
            <w:tcW w:w="9500" w:type="dxa"/>
            <w:shd w:val="clear" w:color="auto" w:fill="auto"/>
            <w:hideMark/>
          </w:tcPr>
          <w:p w14:paraId="5E3C115A"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Armoring of marine shorelines and overwater structures that alter, destroy, and disturb habitats and species via a nonconsumptive use, including industrial, commercial, and recreational marinas, ports and shipyards. Runoff from impervious surfaces or other water pollution should go in 9.1.</w:t>
            </w:r>
          </w:p>
        </w:tc>
      </w:tr>
      <w:tr w:rsidR="001050A0" w:rsidRPr="001050A0" w14:paraId="26A1851C" w14:textId="77777777" w:rsidTr="001050A0">
        <w:trPr>
          <w:trHeight w:val="975"/>
        </w:trPr>
        <w:tc>
          <w:tcPr>
            <w:tcW w:w="1540" w:type="dxa"/>
            <w:shd w:val="clear" w:color="auto" w:fill="auto"/>
            <w:hideMark/>
          </w:tcPr>
          <w:p w14:paraId="6257E2F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60ABFD11"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9.3</w:t>
            </w:r>
          </w:p>
        </w:tc>
        <w:tc>
          <w:tcPr>
            <w:tcW w:w="5140" w:type="dxa"/>
            <w:shd w:val="clear" w:color="auto" w:fill="auto"/>
            <w:hideMark/>
          </w:tcPr>
          <w:p w14:paraId="41186A5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Agricultural &amp; Forestry Effluents</w:t>
            </w:r>
          </w:p>
        </w:tc>
        <w:tc>
          <w:tcPr>
            <w:tcW w:w="9500" w:type="dxa"/>
            <w:shd w:val="clear" w:color="auto" w:fill="auto"/>
            <w:hideMark/>
          </w:tcPr>
          <w:p w14:paraId="60B54EEB" w14:textId="347AEC3E"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Water-borne po</w:t>
            </w:r>
            <w:r>
              <w:rPr>
                <w:rFonts w:ascii="Calibri" w:eastAsia="Times New Roman" w:hAnsi="Calibri" w:cs="Times New Roman"/>
                <w:color w:val="000000"/>
              </w:rPr>
              <w:t>llutants from agricultural, sil</w:t>
            </w:r>
            <w:r w:rsidRPr="001050A0">
              <w:rPr>
                <w:rFonts w:ascii="Calibri" w:eastAsia="Times New Roman" w:hAnsi="Calibri" w:cs="Times New Roman"/>
                <w:color w:val="000000"/>
              </w:rPr>
              <w:t>vicultural, and aquaculture systems that include nutrients, toxic chemicals and/or sediments including the effects of these pollutants on the site where they are applied This class also includes pollutants added by biosolids, herbicide, and pesticide application. Wind erosion of agricultural sediments or smoke from forest fires goes in 9.5 Air-Borne Pollutants. Examples: nutrient loading from fertilizer run-off, manure from feedlots, nutrients from aquaculture, etc.; soil erosion from overgrazing, increased run-off and hence sedimentation due to conversion of forests to agricultural lands, etc.; herbicide run-off from orchards, etc.</w:t>
            </w:r>
          </w:p>
        </w:tc>
      </w:tr>
      <w:tr w:rsidR="001050A0" w:rsidRPr="001050A0" w14:paraId="5CAA71D1" w14:textId="77777777" w:rsidTr="001050A0">
        <w:trPr>
          <w:trHeight w:val="975"/>
        </w:trPr>
        <w:tc>
          <w:tcPr>
            <w:tcW w:w="1540" w:type="dxa"/>
            <w:shd w:val="clear" w:color="auto" w:fill="auto"/>
            <w:hideMark/>
          </w:tcPr>
          <w:p w14:paraId="1D7C40B1"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42CA7EA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4.1</w:t>
            </w:r>
          </w:p>
        </w:tc>
        <w:tc>
          <w:tcPr>
            <w:tcW w:w="5140" w:type="dxa"/>
            <w:shd w:val="clear" w:color="auto" w:fill="auto"/>
            <w:hideMark/>
          </w:tcPr>
          <w:p w14:paraId="6D69708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Roads &amp; Railroads (Including Culverts)</w:t>
            </w:r>
          </w:p>
        </w:tc>
        <w:tc>
          <w:tcPr>
            <w:tcW w:w="9500" w:type="dxa"/>
            <w:shd w:val="clear" w:color="auto" w:fill="auto"/>
            <w:hideMark/>
          </w:tcPr>
          <w:p w14:paraId="010FF804"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Surface transport on roadways and dedicated tracks Off-road vehicles are treated in the appropriate category in 6. Human Intrusions &amp; Disturbance. If there are small roads associated with a major utility line, they belong in 4.2 Utility &amp; Service Lines. Examples: highways, secondary roads, primitive roads, logging roads, bridges &amp; causeways, fencing associated with roads, freight/passenger/mining railroads, etc.</w:t>
            </w:r>
          </w:p>
        </w:tc>
      </w:tr>
      <w:tr w:rsidR="001050A0" w:rsidRPr="001050A0" w14:paraId="6E51F024" w14:textId="77777777" w:rsidTr="001050A0">
        <w:trPr>
          <w:trHeight w:val="975"/>
        </w:trPr>
        <w:tc>
          <w:tcPr>
            <w:tcW w:w="1540" w:type="dxa"/>
            <w:shd w:val="clear" w:color="auto" w:fill="auto"/>
            <w:hideMark/>
          </w:tcPr>
          <w:p w14:paraId="11DD39E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6F02B26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9.1.1.2</w:t>
            </w:r>
          </w:p>
        </w:tc>
        <w:tc>
          <w:tcPr>
            <w:tcW w:w="5140" w:type="dxa"/>
            <w:shd w:val="clear" w:color="auto" w:fill="auto"/>
            <w:hideMark/>
          </w:tcPr>
          <w:p w14:paraId="5582D35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OSS - Domestic and Commercial Wastewater to Onsite Sewage Systems (OSS)</w:t>
            </w:r>
          </w:p>
        </w:tc>
        <w:tc>
          <w:tcPr>
            <w:tcW w:w="9500" w:type="dxa"/>
            <w:shd w:val="clear" w:color="auto" w:fill="auto"/>
            <w:hideMark/>
          </w:tcPr>
          <w:p w14:paraId="16F273D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Discharges from Onsite Sewage Systems (OSS) This class includes sewage and leachates (nutrients, toxic chemicals and/or sediment) from residences and commercial facilities not connected to a municipal system (septics, small private systems, and everything with a drain field).</w:t>
            </w:r>
          </w:p>
        </w:tc>
      </w:tr>
      <w:tr w:rsidR="001050A0" w:rsidRPr="001050A0" w14:paraId="100ACEF0" w14:textId="77777777" w:rsidTr="001050A0">
        <w:trPr>
          <w:trHeight w:val="975"/>
        </w:trPr>
        <w:tc>
          <w:tcPr>
            <w:tcW w:w="1540" w:type="dxa"/>
            <w:shd w:val="clear" w:color="auto" w:fill="auto"/>
            <w:hideMark/>
          </w:tcPr>
          <w:p w14:paraId="58767F6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lastRenderedPageBreak/>
              <w:t>Direct Threat</w:t>
            </w:r>
          </w:p>
        </w:tc>
        <w:tc>
          <w:tcPr>
            <w:tcW w:w="1300" w:type="dxa"/>
            <w:shd w:val="clear" w:color="auto" w:fill="auto"/>
            <w:hideMark/>
          </w:tcPr>
          <w:p w14:paraId="550262AA"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7.2.5</w:t>
            </w:r>
          </w:p>
        </w:tc>
        <w:tc>
          <w:tcPr>
            <w:tcW w:w="5140" w:type="dxa"/>
            <w:shd w:val="clear" w:color="auto" w:fill="auto"/>
            <w:hideMark/>
          </w:tcPr>
          <w:p w14:paraId="5790023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Marine Levees, Floodgates, Tidegates</w:t>
            </w:r>
          </w:p>
        </w:tc>
        <w:tc>
          <w:tcPr>
            <w:tcW w:w="9500" w:type="dxa"/>
            <w:shd w:val="clear" w:color="auto" w:fill="auto"/>
            <w:hideMark/>
          </w:tcPr>
          <w:p w14:paraId="4AB154B0"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Levees &amp; tidegates along marine water systems to manage or exclude marine water into the freshwater system Impacts associated with levees and tidegates include conversion or degradation of habitat, altered hydrology, and altered connectivity</w:t>
            </w:r>
          </w:p>
        </w:tc>
      </w:tr>
      <w:tr w:rsidR="001050A0" w:rsidRPr="001050A0" w14:paraId="626A83AE" w14:textId="77777777" w:rsidTr="001050A0">
        <w:trPr>
          <w:trHeight w:val="170"/>
        </w:trPr>
        <w:tc>
          <w:tcPr>
            <w:tcW w:w="1540" w:type="dxa"/>
            <w:shd w:val="clear" w:color="auto" w:fill="auto"/>
            <w:hideMark/>
          </w:tcPr>
          <w:p w14:paraId="09B18F5A"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7BD53214"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7.2.2</w:t>
            </w:r>
          </w:p>
        </w:tc>
        <w:tc>
          <w:tcPr>
            <w:tcW w:w="5140" w:type="dxa"/>
            <w:shd w:val="clear" w:color="auto" w:fill="auto"/>
            <w:hideMark/>
          </w:tcPr>
          <w:p w14:paraId="3CEF26EC"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Abstraction of ground water</w:t>
            </w:r>
          </w:p>
        </w:tc>
        <w:tc>
          <w:tcPr>
            <w:tcW w:w="9500" w:type="dxa"/>
            <w:shd w:val="clear" w:color="auto" w:fill="auto"/>
            <w:hideMark/>
          </w:tcPr>
          <w:p w14:paraId="3DB4F6B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Pumping or other extraction of ground water</w:t>
            </w:r>
          </w:p>
        </w:tc>
      </w:tr>
      <w:tr w:rsidR="001050A0" w:rsidRPr="001050A0" w14:paraId="1E5A6505" w14:textId="77777777" w:rsidTr="001050A0">
        <w:trPr>
          <w:trHeight w:val="975"/>
        </w:trPr>
        <w:tc>
          <w:tcPr>
            <w:tcW w:w="1540" w:type="dxa"/>
            <w:shd w:val="clear" w:color="auto" w:fill="auto"/>
            <w:hideMark/>
          </w:tcPr>
          <w:p w14:paraId="2B4A8DF1"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6634275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2.2</w:t>
            </w:r>
          </w:p>
        </w:tc>
        <w:tc>
          <w:tcPr>
            <w:tcW w:w="5140" w:type="dxa"/>
            <w:shd w:val="clear" w:color="auto" w:fill="auto"/>
            <w:hideMark/>
          </w:tcPr>
          <w:p w14:paraId="79D56DA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Wood &amp; Pulp Plantations</w:t>
            </w:r>
          </w:p>
        </w:tc>
        <w:tc>
          <w:tcPr>
            <w:tcW w:w="9500" w:type="dxa"/>
            <w:shd w:val="clear" w:color="auto" w:fill="auto"/>
            <w:hideMark/>
          </w:tcPr>
          <w:p w14:paraId="0BDC529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Stands of trees planted for timber or fiber outside of natural forests, often with non-native species If it is one or a couple timber species that are planted on a rotation cycle, it belongs here. If it is multiple species or enrichment plantings in a quasi-natural system, it belongs in 5.3 Logging &amp; Wood Harvesting. This class includes small-holder and agro-industry plantations</w:t>
            </w:r>
          </w:p>
        </w:tc>
      </w:tr>
      <w:tr w:rsidR="001050A0" w:rsidRPr="001050A0" w14:paraId="288CF5C8" w14:textId="77777777" w:rsidTr="001050A0">
        <w:trPr>
          <w:trHeight w:val="975"/>
        </w:trPr>
        <w:tc>
          <w:tcPr>
            <w:tcW w:w="1540" w:type="dxa"/>
            <w:shd w:val="clear" w:color="auto" w:fill="auto"/>
            <w:hideMark/>
          </w:tcPr>
          <w:p w14:paraId="0CE240B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Direct Threat</w:t>
            </w:r>
          </w:p>
        </w:tc>
        <w:tc>
          <w:tcPr>
            <w:tcW w:w="1300" w:type="dxa"/>
            <w:shd w:val="clear" w:color="auto" w:fill="auto"/>
            <w:hideMark/>
          </w:tcPr>
          <w:p w14:paraId="5ED891E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9.1.1.1</w:t>
            </w:r>
          </w:p>
        </w:tc>
        <w:tc>
          <w:tcPr>
            <w:tcW w:w="5140" w:type="dxa"/>
            <w:shd w:val="clear" w:color="auto" w:fill="auto"/>
            <w:hideMark/>
          </w:tcPr>
          <w:p w14:paraId="35622F5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Sewer - Domestic &amp; Municipal Wastewater to Sewer</w:t>
            </w:r>
          </w:p>
        </w:tc>
        <w:tc>
          <w:tcPr>
            <w:tcW w:w="9500" w:type="dxa"/>
            <w:shd w:val="clear" w:color="auto" w:fill="auto"/>
            <w:hideMark/>
          </w:tcPr>
          <w:p w14:paraId="12BE45EB"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Discharges from municipal WWTPs into hydrologic systems This class includes water-borne sewage that includes nutrients, pathogens, toxic chemicals, and sediments. Discharges from combined sewer overflows CSOs are included here. Onsite sewage systems (OSS) go in 9.1.1.2. This class does not include wastewater discharged from recreational and other vessels (see 4.3, 6.1 and 6.2), or biosolids applied in terrestrial environments (see 9.3).</w:t>
            </w:r>
          </w:p>
        </w:tc>
      </w:tr>
      <w:tr w:rsidR="001050A0" w:rsidRPr="001050A0" w14:paraId="2D26E79A" w14:textId="77777777" w:rsidTr="001050A0">
        <w:trPr>
          <w:trHeight w:val="975"/>
        </w:trPr>
        <w:tc>
          <w:tcPr>
            <w:tcW w:w="1540" w:type="dxa"/>
            <w:shd w:val="clear" w:color="auto" w:fill="DEEAF6" w:themeFill="accent1" w:themeFillTint="33"/>
            <w:hideMark/>
          </w:tcPr>
          <w:p w14:paraId="03D97C19" w14:textId="77777777" w:rsidR="001050A0" w:rsidRPr="001050A0" w:rsidRDefault="001050A0" w:rsidP="001050A0">
            <w:pPr>
              <w:spacing w:after="0" w:line="240" w:lineRule="auto"/>
              <w:rPr>
                <w:rFonts w:ascii="Calibri" w:eastAsia="Times New Roman" w:hAnsi="Calibri" w:cs="Times New Roman"/>
                <w:b/>
                <w:bCs/>
                <w:color w:val="000000"/>
              </w:rPr>
            </w:pPr>
            <w:r w:rsidRPr="001050A0">
              <w:rPr>
                <w:rFonts w:ascii="Calibri" w:eastAsia="Times New Roman" w:hAnsi="Calibri" w:cs="Times New Roman"/>
                <w:b/>
                <w:bCs/>
                <w:color w:val="000000"/>
              </w:rPr>
              <w:t>Pressure Stressors</w:t>
            </w:r>
          </w:p>
        </w:tc>
        <w:tc>
          <w:tcPr>
            <w:tcW w:w="1300" w:type="dxa"/>
            <w:shd w:val="clear" w:color="auto" w:fill="DEEAF6" w:themeFill="accent1" w:themeFillTint="33"/>
            <w:hideMark/>
          </w:tcPr>
          <w:p w14:paraId="497A7CC2" w14:textId="77777777" w:rsidR="001050A0" w:rsidRPr="001050A0" w:rsidRDefault="001050A0" w:rsidP="001050A0">
            <w:pPr>
              <w:spacing w:after="0" w:line="240" w:lineRule="auto"/>
              <w:rPr>
                <w:rFonts w:ascii="Calibri" w:eastAsia="Times New Roman" w:hAnsi="Calibri" w:cs="Times New Roman"/>
                <w:b/>
                <w:bCs/>
                <w:color w:val="000000"/>
              </w:rPr>
            </w:pPr>
          </w:p>
        </w:tc>
        <w:tc>
          <w:tcPr>
            <w:tcW w:w="5140" w:type="dxa"/>
            <w:shd w:val="clear" w:color="auto" w:fill="DEEAF6" w:themeFill="accent1" w:themeFillTint="33"/>
            <w:hideMark/>
          </w:tcPr>
          <w:p w14:paraId="7B1108B9" w14:textId="77777777" w:rsidR="001050A0" w:rsidRPr="001050A0" w:rsidRDefault="001050A0" w:rsidP="001050A0">
            <w:pPr>
              <w:spacing w:after="0" w:line="240" w:lineRule="auto"/>
              <w:rPr>
                <w:rFonts w:ascii="Times New Roman" w:eastAsia="Times New Roman" w:hAnsi="Times New Roman" w:cs="Times New Roman"/>
                <w:sz w:val="20"/>
                <w:szCs w:val="20"/>
              </w:rPr>
            </w:pPr>
          </w:p>
        </w:tc>
        <w:tc>
          <w:tcPr>
            <w:tcW w:w="9500" w:type="dxa"/>
            <w:shd w:val="clear" w:color="auto" w:fill="DEEAF6" w:themeFill="accent1" w:themeFillTint="33"/>
            <w:hideMark/>
          </w:tcPr>
          <w:p w14:paraId="578890C6" w14:textId="77777777" w:rsidR="001050A0" w:rsidRPr="001050A0" w:rsidRDefault="001050A0" w:rsidP="001050A0">
            <w:pPr>
              <w:spacing w:after="0" w:line="240" w:lineRule="auto"/>
              <w:rPr>
                <w:rFonts w:ascii="Times New Roman" w:eastAsia="Times New Roman" w:hAnsi="Times New Roman" w:cs="Times New Roman"/>
                <w:sz w:val="20"/>
                <w:szCs w:val="20"/>
              </w:rPr>
            </w:pPr>
          </w:p>
        </w:tc>
      </w:tr>
      <w:tr w:rsidR="001050A0" w:rsidRPr="001050A0" w14:paraId="4F44BC1E" w14:textId="77777777" w:rsidTr="001050A0">
        <w:trPr>
          <w:trHeight w:val="975"/>
        </w:trPr>
        <w:tc>
          <w:tcPr>
            <w:tcW w:w="1540" w:type="dxa"/>
            <w:shd w:val="clear" w:color="auto" w:fill="DEEAF6" w:themeFill="accent1" w:themeFillTint="33"/>
            <w:hideMark/>
          </w:tcPr>
          <w:p w14:paraId="488FD975" w14:textId="77777777" w:rsidR="001050A0" w:rsidRPr="001050A0" w:rsidRDefault="001050A0" w:rsidP="001050A0">
            <w:pPr>
              <w:spacing w:after="0" w:line="240" w:lineRule="auto"/>
              <w:rPr>
                <w:rFonts w:ascii="Calibri" w:eastAsia="Times New Roman" w:hAnsi="Calibri" w:cs="Times New Roman"/>
                <w:b/>
                <w:color w:val="000000"/>
              </w:rPr>
            </w:pPr>
            <w:r w:rsidRPr="001050A0">
              <w:rPr>
                <w:rFonts w:ascii="Calibri" w:eastAsia="Times New Roman" w:hAnsi="Calibri" w:cs="Times New Roman"/>
                <w:b/>
                <w:color w:val="000000"/>
              </w:rPr>
              <w:t>Factor</w:t>
            </w:r>
          </w:p>
        </w:tc>
        <w:tc>
          <w:tcPr>
            <w:tcW w:w="1300" w:type="dxa"/>
            <w:shd w:val="clear" w:color="auto" w:fill="DEEAF6" w:themeFill="accent1" w:themeFillTint="33"/>
            <w:hideMark/>
          </w:tcPr>
          <w:p w14:paraId="51964787" w14:textId="77777777" w:rsidR="001050A0" w:rsidRPr="001050A0" w:rsidRDefault="001050A0" w:rsidP="001050A0">
            <w:pPr>
              <w:spacing w:after="0" w:line="240" w:lineRule="auto"/>
              <w:rPr>
                <w:rFonts w:ascii="Calibri" w:eastAsia="Times New Roman" w:hAnsi="Calibri" w:cs="Times New Roman"/>
                <w:b/>
                <w:color w:val="000000"/>
              </w:rPr>
            </w:pPr>
            <w:r w:rsidRPr="001050A0">
              <w:rPr>
                <w:rFonts w:ascii="Calibri" w:eastAsia="Times New Roman" w:hAnsi="Calibri" w:cs="Times New Roman"/>
                <w:b/>
                <w:color w:val="000000"/>
              </w:rPr>
              <w:t>Identifier</w:t>
            </w:r>
          </w:p>
        </w:tc>
        <w:tc>
          <w:tcPr>
            <w:tcW w:w="5140" w:type="dxa"/>
            <w:shd w:val="clear" w:color="auto" w:fill="DEEAF6" w:themeFill="accent1" w:themeFillTint="33"/>
            <w:hideMark/>
          </w:tcPr>
          <w:p w14:paraId="0D42E0B6" w14:textId="77777777" w:rsidR="001050A0" w:rsidRPr="001050A0" w:rsidRDefault="001050A0" w:rsidP="001050A0">
            <w:pPr>
              <w:spacing w:after="0" w:line="240" w:lineRule="auto"/>
              <w:rPr>
                <w:rFonts w:ascii="Calibri" w:eastAsia="Times New Roman" w:hAnsi="Calibri" w:cs="Times New Roman"/>
                <w:b/>
                <w:color w:val="000000"/>
              </w:rPr>
            </w:pPr>
            <w:r w:rsidRPr="001050A0">
              <w:rPr>
                <w:rFonts w:ascii="Calibri" w:eastAsia="Times New Roman" w:hAnsi="Calibri" w:cs="Times New Roman"/>
                <w:b/>
                <w:color w:val="000000"/>
              </w:rPr>
              <w:t>Name</w:t>
            </w:r>
          </w:p>
        </w:tc>
        <w:tc>
          <w:tcPr>
            <w:tcW w:w="9500" w:type="dxa"/>
            <w:shd w:val="clear" w:color="auto" w:fill="DEEAF6" w:themeFill="accent1" w:themeFillTint="33"/>
            <w:hideMark/>
          </w:tcPr>
          <w:p w14:paraId="59B35159" w14:textId="77777777" w:rsidR="001050A0" w:rsidRPr="001050A0" w:rsidRDefault="001050A0" w:rsidP="001050A0">
            <w:pPr>
              <w:spacing w:after="0" w:line="240" w:lineRule="auto"/>
              <w:rPr>
                <w:rFonts w:ascii="Calibri" w:eastAsia="Times New Roman" w:hAnsi="Calibri" w:cs="Times New Roman"/>
                <w:b/>
                <w:color w:val="000000"/>
              </w:rPr>
            </w:pPr>
            <w:r w:rsidRPr="001050A0">
              <w:rPr>
                <w:rFonts w:ascii="Calibri" w:eastAsia="Times New Roman" w:hAnsi="Calibri" w:cs="Times New Roman"/>
                <w:b/>
                <w:color w:val="000000"/>
              </w:rPr>
              <w:t>Details</w:t>
            </w:r>
          </w:p>
        </w:tc>
      </w:tr>
      <w:tr w:rsidR="001050A0" w:rsidRPr="001050A0" w14:paraId="702FB719" w14:textId="77777777" w:rsidTr="001050A0">
        <w:trPr>
          <w:trHeight w:val="975"/>
        </w:trPr>
        <w:tc>
          <w:tcPr>
            <w:tcW w:w="1540" w:type="dxa"/>
            <w:shd w:val="clear" w:color="auto" w:fill="auto"/>
            <w:hideMark/>
          </w:tcPr>
          <w:p w14:paraId="1AF19D3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422A4544"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10.1</w:t>
            </w:r>
          </w:p>
        </w:tc>
        <w:tc>
          <w:tcPr>
            <w:tcW w:w="5140" w:type="dxa"/>
            <w:shd w:val="clear" w:color="auto" w:fill="auto"/>
            <w:hideMark/>
          </w:tcPr>
          <w:p w14:paraId="6AB0113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Altered peak flows from land cover change</w:t>
            </w:r>
          </w:p>
        </w:tc>
        <w:tc>
          <w:tcPr>
            <w:tcW w:w="9500" w:type="dxa"/>
            <w:shd w:val="clear" w:color="auto" w:fill="auto"/>
            <w:hideMark/>
          </w:tcPr>
          <w:p w14:paraId="7F90C70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Altered peak flows into and in surface waters related to changes in land cover and the associated surface hardening and associated impacts such as changes in sediment and debris delivery.   Stress from pollution impacts is evaluated separately (see 22 through 23).  Altered peak flow from climate change is evaluated separately (see 10.2)</w:t>
            </w:r>
          </w:p>
        </w:tc>
      </w:tr>
      <w:tr w:rsidR="001050A0" w:rsidRPr="001050A0" w14:paraId="7D22AEE1" w14:textId="77777777" w:rsidTr="001050A0">
        <w:trPr>
          <w:trHeight w:val="530"/>
        </w:trPr>
        <w:tc>
          <w:tcPr>
            <w:tcW w:w="1540" w:type="dxa"/>
            <w:shd w:val="clear" w:color="auto" w:fill="auto"/>
            <w:hideMark/>
          </w:tcPr>
          <w:p w14:paraId="7190216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415E7F34"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4</w:t>
            </w:r>
          </w:p>
        </w:tc>
        <w:tc>
          <w:tcPr>
            <w:tcW w:w="5140" w:type="dxa"/>
            <w:shd w:val="clear" w:color="auto" w:fill="auto"/>
            <w:hideMark/>
          </w:tcPr>
          <w:p w14:paraId="6142C16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Shading of shallow water habitat</w:t>
            </w:r>
          </w:p>
        </w:tc>
        <w:tc>
          <w:tcPr>
            <w:tcW w:w="9500" w:type="dxa"/>
            <w:shd w:val="clear" w:color="auto" w:fill="auto"/>
            <w:hideMark/>
          </w:tcPr>
          <w:p w14:paraId="5903AD7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Decreased light transmitted into shallow waters. This stressor causes species stresses related to productivity or altered predator-prey relationships. The primary source of this stressor is construction of overwater and on-shore structures.</w:t>
            </w:r>
          </w:p>
        </w:tc>
      </w:tr>
      <w:tr w:rsidR="001050A0" w:rsidRPr="001050A0" w14:paraId="1F688748" w14:textId="77777777" w:rsidTr="001050A0">
        <w:trPr>
          <w:trHeight w:val="975"/>
        </w:trPr>
        <w:tc>
          <w:tcPr>
            <w:tcW w:w="1540" w:type="dxa"/>
            <w:shd w:val="clear" w:color="auto" w:fill="auto"/>
            <w:hideMark/>
          </w:tcPr>
          <w:p w14:paraId="369BE939"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164EF05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18.3</w:t>
            </w:r>
          </w:p>
        </w:tc>
        <w:tc>
          <w:tcPr>
            <w:tcW w:w="5140" w:type="dxa"/>
            <w:shd w:val="clear" w:color="auto" w:fill="auto"/>
            <w:hideMark/>
          </w:tcPr>
          <w:p w14:paraId="6D683CFB"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Non-native genetic material</w:t>
            </w:r>
          </w:p>
        </w:tc>
        <w:tc>
          <w:tcPr>
            <w:tcW w:w="9500" w:type="dxa"/>
            <w:shd w:val="clear" w:color="auto" w:fill="auto"/>
            <w:hideMark/>
          </w:tcPr>
          <w:p w14:paraId="52F86C8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Introduction and spread of extra or new genetic material that includes transgenetic material introduced through a variety of genetic engineering methods and purposes (for example, genetically modified agricultural crops), intentional or unintentional hybridization of different species because of management actions, and hybridization of introduced, exotic shellfish or fish with native forms through aquaculture.</w:t>
            </w:r>
          </w:p>
        </w:tc>
      </w:tr>
      <w:tr w:rsidR="001050A0" w:rsidRPr="001050A0" w14:paraId="39F297CF" w14:textId="77777777" w:rsidTr="001050A0">
        <w:trPr>
          <w:trHeight w:val="975"/>
        </w:trPr>
        <w:tc>
          <w:tcPr>
            <w:tcW w:w="1540" w:type="dxa"/>
            <w:shd w:val="clear" w:color="auto" w:fill="auto"/>
            <w:hideMark/>
          </w:tcPr>
          <w:p w14:paraId="081AA1E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00C134F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5.2</w:t>
            </w:r>
          </w:p>
        </w:tc>
        <w:tc>
          <w:tcPr>
            <w:tcW w:w="5140" w:type="dxa"/>
            <w:shd w:val="clear" w:color="auto" w:fill="auto"/>
            <w:hideMark/>
          </w:tcPr>
          <w:p w14:paraId="0F18D33A"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Culverts and other fish passage barriers</w:t>
            </w:r>
          </w:p>
        </w:tc>
        <w:tc>
          <w:tcPr>
            <w:tcW w:w="9500" w:type="dxa"/>
            <w:shd w:val="clear" w:color="auto" w:fill="auto"/>
            <w:hideMark/>
          </w:tcPr>
          <w:p w14:paraId="466C0B19"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Structures other than dams that block or impede movements and migrations of fish and other aquatic animals.  Includes structures in, along-side, and across water bodies.  This stressor is intended to evaluate only effects on fish and other aquatic species; effects on flow regulation (see 12) and physical processes (see 13) are evaluated separately. Fish passage barriers created by dams are evaluated as separate stressors (see 05.1).</w:t>
            </w:r>
          </w:p>
        </w:tc>
      </w:tr>
      <w:tr w:rsidR="001050A0" w:rsidRPr="001050A0" w14:paraId="69021A71" w14:textId="77777777" w:rsidTr="001050A0">
        <w:trPr>
          <w:trHeight w:val="975"/>
        </w:trPr>
        <w:tc>
          <w:tcPr>
            <w:tcW w:w="1540" w:type="dxa"/>
            <w:shd w:val="clear" w:color="auto" w:fill="auto"/>
            <w:hideMark/>
          </w:tcPr>
          <w:p w14:paraId="2AB6BA90"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3F20026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11.1</w:t>
            </w:r>
          </w:p>
        </w:tc>
        <w:tc>
          <w:tcPr>
            <w:tcW w:w="5140" w:type="dxa"/>
            <w:shd w:val="clear" w:color="auto" w:fill="auto"/>
            <w:hideMark/>
          </w:tcPr>
          <w:p w14:paraId="4A08E5F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Altered low flows from land cover change</w:t>
            </w:r>
          </w:p>
        </w:tc>
        <w:tc>
          <w:tcPr>
            <w:tcW w:w="9500" w:type="dxa"/>
            <w:shd w:val="clear" w:color="auto" w:fill="auto"/>
            <w:hideMark/>
          </w:tcPr>
          <w:p w14:paraId="526ADF3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Reduction of low flows in surface waters related to changes in land cover and the associated surface hardening and changes in hydrology. Other reductions of low flows are evaluated separately (see K2 and K3)</w:t>
            </w:r>
          </w:p>
        </w:tc>
      </w:tr>
      <w:tr w:rsidR="001050A0" w:rsidRPr="001050A0" w14:paraId="42BDB2E3" w14:textId="77777777" w:rsidTr="001050A0">
        <w:trPr>
          <w:trHeight w:val="975"/>
        </w:trPr>
        <w:tc>
          <w:tcPr>
            <w:tcW w:w="1540" w:type="dxa"/>
            <w:shd w:val="clear" w:color="auto" w:fill="auto"/>
            <w:hideMark/>
          </w:tcPr>
          <w:p w14:paraId="10BD5C9C"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4B96944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1.3</w:t>
            </w:r>
          </w:p>
        </w:tc>
        <w:tc>
          <w:tcPr>
            <w:tcW w:w="5140" w:type="dxa"/>
            <w:shd w:val="clear" w:color="auto" w:fill="auto"/>
            <w:hideMark/>
          </w:tcPr>
          <w:p w14:paraId="6AC440B0"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Conversion of land cover for transportation &amp; utilities</w:t>
            </w:r>
          </w:p>
        </w:tc>
        <w:tc>
          <w:tcPr>
            <w:tcW w:w="9500" w:type="dxa"/>
            <w:shd w:val="clear" w:color="auto" w:fill="auto"/>
            <w:hideMark/>
          </w:tcPr>
          <w:p w14:paraId="05F27D4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Conversion of land cover to one dominated by transportation and service corridors. This stressor has to do with the reduction in extent and quality of habitat due to conversion, including conversion by dredging.  Stress associated with disturbance due to human activities (including in developed areas) is addressed separately (see 07).  Terrestrial habitat fragmentation (see 02), shoreline hardening (see 03),  and barriers to terrestrial animal movement and migration (see 06) are addressed as separate stressors. Pollution impacts are assessed through separate stressors (see 22 through 23).</w:t>
            </w:r>
          </w:p>
        </w:tc>
      </w:tr>
      <w:tr w:rsidR="001050A0" w:rsidRPr="001050A0" w14:paraId="38175C3D" w14:textId="77777777" w:rsidTr="001050A0">
        <w:trPr>
          <w:trHeight w:val="975"/>
        </w:trPr>
        <w:tc>
          <w:tcPr>
            <w:tcW w:w="1540" w:type="dxa"/>
            <w:shd w:val="clear" w:color="auto" w:fill="auto"/>
            <w:hideMark/>
          </w:tcPr>
          <w:p w14:paraId="028485FC"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lastRenderedPageBreak/>
              <w:t>Biophysical Factor</w:t>
            </w:r>
          </w:p>
        </w:tc>
        <w:tc>
          <w:tcPr>
            <w:tcW w:w="1300" w:type="dxa"/>
            <w:shd w:val="clear" w:color="auto" w:fill="auto"/>
            <w:hideMark/>
          </w:tcPr>
          <w:p w14:paraId="3114CE0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22.2</w:t>
            </w:r>
          </w:p>
        </w:tc>
        <w:tc>
          <w:tcPr>
            <w:tcW w:w="5140" w:type="dxa"/>
            <w:shd w:val="clear" w:color="auto" w:fill="auto"/>
            <w:hideMark/>
          </w:tcPr>
          <w:p w14:paraId="0630558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Non-point source, non-persistent toxic chemicals in aquatic systems</w:t>
            </w:r>
          </w:p>
        </w:tc>
        <w:tc>
          <w:tcPr>
            <w:tcW w:w="9500" w:type="dxa"/>
            <w:shd w:val="clear" w:color="auto" w:fill="auto"/>
            <w:hideMark/>
          </w:tcPr>
          <w:p w14:paraId="074D35D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Presence or loading of non-persistent toxics from non-point sources, such as runoff from developed areas and roads, including from historic (legacy) sources and small (less than 10 gallons) spill events.  Sources of this stressor include activities that contribute pollutants to surface water runoff, including that discharged through stormwater conveyance systems. Stress from point sources is evaluated separately (see 22.1).</w:t>
            </w:r>
          </w:p>
        </w:tc>
      </w:tr>
      <w:tr w:rsidR="001050A0" w:rsidRPr="001050A0" w14:paraId="3E284955" w14:textId="77777777" w:rsidTr="001050A0">
        <w:trPr>
          <w:trHeight w:val="975"/>
        </w:trPr>
        <w:tc>
          <w:tcPr>
            <w:tcW w:w="1540" w:type="dxa"/>
            <w:shd w:val="clear" w:color="auto" w:fill="auto"/>
            <w:hideMark/>
          </w:tcPr>
          <w:p w14:paraId="733A4F8C"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1F0AA154" w14:textId="77777777" w:rsidR="001050A0" w:rsidRPr="001050A0" w:rsidRDefault="001050A0" w:rsidP="001050A0">
            <w:pPr>
              <w:spacing w:after="0" w:line="240" w:lineRule="auto"/>
              <w:rPr>
                <w:rFonts w:ascii="Calibri" w:eastAsia="Times New Roman" w:hAnsi="Calibri" w:cs="Times New Roman"/>
                <w:color w:val="000000"/>
              </w:rPr>
            </w:pPr>
          </w:p>
        </w:tc>
        <w:tc>
          <w:tcPr>
            <w:tcW w:w="5140" w:type="dxa"/>
            <w:shd w:val="clear" w:color="auto" w:fill="auto"/>
            <w:hideMark/>
          </w:tcPr>
          <w:p w14:paraId="75DBC38B"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 Sea level rise ]</w:t>
            </w:r>
          </w:p>
        </w:tc>
        <w:tc>
          <w:tcPr>
            <w:tcW w:w="9500" w:type="dxa"/>
            <w:shd w:val="clear" w:color="auto" w:fill="auto"/>
            <w:hideMark/>
          </w:tcPr>
          <w:p w14:paraId="0AE995E6" w14:textId="77777777" w:rsidR="001050A0" w:rsidRPr="001050A0" w:rsidRDefault="001050A0" w:rsidP="001050A0">
            <w:pPr>
              <w:spacing w:after="0" w:line="240" w:lineRule="auto"/>
              <w:rPr>
                <w:rFonts w:ascii="Calibri" w:eastAsia="Times New Roman" w:hAnsi="Calibri" w:cs="Times New Roman"/>
                <w:color w:val="000000"/>
              </w:rPr>
            </w:pPr>
          </w:p>
        </w:tc>
      </w:tr>
      <w:tr w:rsidR="001050A0" w:rsidRPr="001050A0" w14:paraId="078ECFC8" w14:textId="77777777" w:rsidTr="001050A0">
        <w:trPr>
          <w:trHeight w:val="975"/>
        </w:trPr>
        <w:tc>
          <w:tcPr>
            <w:tcW w:w="1540" w:type="dxa"/>
            <w:shd w:val="clear" w:color="auto" w:fill="auto"/>
            <w:hideMark/>
          </w:tcPr>
          <w:p w14:paraId="2A92253C"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43AB431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24.3</w:t>
            </w:r>
          </w:p>
        </w:tc>
        <w:tc>
          <w:tcPr>
            <w:tcW w:w="5140" w:type="dxa"/>
            <w:shd w:val="clear" w:color="auto" w:fill="auto"/>
            <w:hideMark/>
          </w:tcPr>
          <w:p w14:paraId="1C39B07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Changes in water temperature from local causes</w:t>
            </w:r>
          </w:p>
        </w:tc>
        <w:tc>
          <w:tcPr>
            <w:tcW w:w="9500" w:type="dxa"/>
            <w:shd w:val="clear" w:color="auto" w:fill="auto"/>
            <w:hideMark/>
          </w:tcPr>
          <w:p w14:paraId="6C334FF1"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Changes in water temperature. Changes in temperature of marine water from human-caused climate change (see 26.4) is evaluated separately.</w:t>
            </w:r>
          </w:p>
        </w:tc>
      </w:tr>
      <w:tr w:rsidR="001050A0" w:rsidRPr="001050A0" w14:paraId="466617FA" w14:textId="77777777" w:rsidTr="001050A0">
        <w:trPr>
          <w:trHeight w:val="975"/>
        </w:trPr>
        <w:tc>
          <w:tcPr>
            <w:tcW w:w="1540" w:type="dxa"/>
            <w:shd w:val="clear" w:color="auto" w:fill="auto"/>
            <w:hideMark/>
          </w:tcPr>
          <w:p w14:paraId="0365FEE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7AF0AB8B"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24.3</w:t>
            </w:r>
          </w:p>
        </w:tc>
        <w:tc>
          <w:tcPr>
            <w:tcW w:w="5140" w:type="dxa"/>
            <w:shd w:val="clear" w:color="auto" w:fill="auto"/>
            <w:hideMark/>
          </w:tcPr>
          <w:p w14:paraId="7DF1DE94"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Changes in water temperature from local causes</w:t>
            </w:r>
          </w:p>
        </w:tc>
        <w:tc>
          <w:tcPr>
            <w:tcW w:w="9500" w:type="dxa"/>
            <w:shd w:val="clear" w:color="auto" w:fill="auto"/>
            <w:hideMark/>
          </w:tcPr>
          <w:p w14:paraId="42F4DA4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Changes in water temperature. Changes in temperature of marine water from human-caused climate change (see 26.4) is evaluated separately.</w:t>
            </w:r>
          </w:p>
        </w:tc>
      </w:tr>
      <w:tr w:rsidR="001050A0" w:rsidRPr="001050A0" w14:paraId="0D028B59" w14:textId="77777777" w:rsidTr="001050A0">
        <w:trPr>
          <w:trHeight w:val="975"/>
        </w:trPr>
        <w:tc>
          <w:tcPr>
            <w:tcW w:w="1540" w:type="dxa"/>
            <w:shd w:val="clear" w:color="auto" w:fill="auto"/>
            <w:hideMark/>
          </w:tcPr>
          <w:p w14:paraId="55B2B14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4347DA5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25</w:t>
            </w:r>
          </w:p>
        </w:tc>
        <w:tc>
          <w:tcPr>
            <w:tcW w:w="5140" w:type="dxa"/>
            <w:shd w:val="clear" w:color="auto" w:fill="auto"/>
            <w:hideMark/>
          </w:tcPr>
          <w:p w14:paraId="36911F5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Harmful algal blooms</w:t>
            </w:r>
          </w:p>
        </w:tc>
        <w:tc>
          <w:tcPr>
            <w:tcW w:w="9500" w:type="dxa"/>
            <w:shd w:val="clear" w:color="auto" w:fill="auto"/>
            <w:hideMark/>
          </w:tcPr>
          <w:p w14:paraId="786D1D1B"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Presence of biological and chemical agents associated with blooms of algae in marine and freshwater systems.</w:t>
            </w:r>
          </w:p>
        </w:tc>
      </w:tr>
      <w:tr w:rsidR="001050A0" w:rsidRPr="001050A0" w14:paraId="6AF21496" w14:textId="77777777" w:rsidTr="001050A0">
        <w:trPr>
          <w:trHeight w:val="975"/>
        </w:trPr>
        <w:tc>
          <w:tcPr>
            <w:tcW w:w="1540" w:type="dxa"/>
            <w:shd w:val="clear" w:color="auto" w:fill="auto"/>
            <w:hideMark/>
          </w:tcPr>
          <w:p w14:paraId="35A8969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1FA62714"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8</w:t>
            </w:r>
          </w:p>
        </w:tc>
        <w:tc>
          <w:tcPr>
            <w:tcW w:w="5140" w:type="dxa"/>
            <w:shd w:val="clear" w:color="auto" w:fill="auto"/>
            <w:hideMark/>
          </w:tcPr>
          <w:p w14:paraId="4435E649"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Species disturbance - marine</w:t>
            </w:r>
          </w:p>
        </w:tc>
        <w:tc>
          <w:tcPr>
            <w:tcW w:w="9500" w:type="dxa"/>
            <w:shd w:val="clear" w:color="auto" w:fill="auto"/>
            <w:hideMark/>
          </w:tcPr>
          <w:p w14:paraId="62D044F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Alteration in the feeding, breeding, or resting behaviors of marine birds, fish, or other aquatic species due to human presence or activities (e.g., recreation, vessel traffic, military exercises) or artifacts and debris associated with activities except pollution impacts (see 22 through 23) and derelict fishing gear (see 09) are assessed through separate stressors.</w:t>
            </w:r>
          </w:p>
        </w:tc>
      </w:tr>
      <w:tr w:rsidR="001050A0" w:rsidRPr="001050A0" w14:paraId="525CA1A1" w14:textId="77777777" w:rsidTr="001050A0">
        <w:trPr>
          <w:trHeight w:val="975"/>
        </w:trPr>
        <w:tc>
          <w:tcPr>
            <w:tcW w:w="1540" w:type="dxa"/>
            <w:shd w:val="clear" w:color="auto" w:fill="auto"/>
            <w:hideMark/>
          </w:tcPr>
          <w:p w14:paraId="640CB76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56E5B10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7.1</w:t>
            </w:r>
          </w:p>
        </w:tc>
        <w:tc>
          <w:tcPr>
            <w:tcW w:w="5140" w:type="dxa"/>
            <w:shd w:val="clear" w:color="auto" w:fill="auto"/>
            <w:hideMark/>
          </w:tcPr>
          <w:p w14:paraId="44C550FB"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Terrestrial and freshwater species disturbance in human dominated areas</w:t>
            </w:r>
          </w:p>
        </w:tc>
        <w:tc>
          <w:tcPr>
            <w:tcW w:w="9500" w:type="dxa"/>
            <w:shd w:val="clear" w:color="auto" w:fill="auto"/>
            <w:hideMark/>
          </w:tcPr>
          <w:p w14:paraId="60C07530"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Alteration in the feeding, breeding, or resting behaviors of fish or wildlife due to human presence or activities associated with landscapes dominated by man-made structures, such as light and sound disturbances associated with developed areas. Includes artifacts and debris associated with human activities, except pollution impacts are evaluated through separate stressors (see V through W).</w:t>
            </w:r>
          </w:p>
        </w:tc>
      </w:tr>
      <w:tr w:rsidR="001050A0" w:rsidRPr="001050A0" w14:paraId="0D287313" w14:textId="77777777" w:rsidTr="001050A0">
        <w:trPr>
          <w:trHeight w:val="975"/>
        </w:trPr>
        <w:tc>
          <w:tcPr>
            <w:tcW w:w="1540" w:type="dxa"/>
            <w:shd w:val="clear" w:color="auto" w:fill="auto"/>
            <w:hideMark/>
          </w:tcPr>
          <w:p w14:paraId="46B18C9B"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246BFE7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w:t>
            </w:r>
          </w:p>
        </w:tc>
        <w:tc>
          <w:tcPr>
            <w:tcW w:w="5140" w:type="dxa"/>
            <w:shd w:val="clear" w:color="auto" w:fill="auto"/>
            <w:hideMark/>
          </w:tcPr>
          <w:p w14:paraId="5E0DBAC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Terrestrial habitat fragmentation</w:t>
            </w:r>
          </w:p>
        </w:tc>
        <w:tc>
          <w:tcPr>
            <w:tcW w:w="9500" w:type="dxa"/>
            <w:shd w:val="clear" w:color="auto" w:fill="auto"/>
            <w:hideMark/>
          </w:tcPr>
          <w:p w14:paraId="4FC329D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Division of contiguous habitat into smaller discontiguous patches or different habitat types. Sources of this stressor include development of lands for agriculture, residential, commercial, or industrial uses, or roads and utility corridors.  Expressions of this stressor will depend on the endpoint one is assessing.  For example, bobcat and certain small passerine birds may have minimum patch size requirements on the order of 25 ha and 3 ha, respectively. Landscapes in which habitat patches are predominantly smaller than these minimums are unlikely to support these species.  Disturbance due to human activities (see 07) and habitat conversion (see 01) are evaluated as separate stressors.</w:t>
            </w:r>
          </w:p>
        </w:tc>
      </w:tr>
      <w:tr w:rsidR="001050A0" w:rsidRPr="001050A0" w14:paraId="2D124FB6" w14:textId="77777777" w:rsidTr="001050A0">
        <w:trPr>
          <w:trHeight w:val="975"/>
        </w:trPr>
        <w:tc>
          <w:tcPr>
            <w:tcW w:w="1540" w:type="dxa"/>
            <w:shd w:val="clear" w:color="auto" w:fill="auto"/>
            <w:hideMark/>
          </w:tcPr>
          <w:p w14:paraId="63D3573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3DC51B51"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22.2</w:t>
            </w:r>
          </w:p>
        </w:tc>
        <w:tc>
          <w:tcPr>
            <w:tcW w:w="5140" w:type="dxa"/>
            <w:shd w:val="clear" w:color="auto" w:fill="auto"/>
            <w:hideMark/>
          </w:tcPr>
          <w:p w14:paraId="4DB5B97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Non-point source, non-persistent toxic chemicals in aquatic systems</w:t>
            </w:r>
          </w:p>
        </w:tc>
        <w:tc>
          <w:tcPr>
            <w:tcW w:w="9500" w:type="dxa"/>
            <w:shd w:val="clear" w:color="auto" w:fill="auto"/>
            <w:hideMark/>
          </w:tcPr>
          <w:p w14:paraId="4F989ED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Presence or loading of non-persistent toxics from non-point sources, such as runoff from developed areas and roads, including from historic (legacy) sources and small (less than 10 gallons) spill events.  Sources of this stressor include activities that contribute pollutants to surface water runoff, including that discharged through stormwater conveyance systems. Stress from point sources is evaluated separately (see 22.1).</w:t>
            </w:r>
          </w:p>
        </w:tc>
      </w:tr>
      <w:tr w:rsidR="001050A0" w:rsidRPr="001050A0" w14:paraId="41845F6F" w14:textId="77777777" w:rsidTr="001050A0">
        <w:trPr>
          <w:trHeight w:val="975"/>
        </w:trPr>
        <w:tc>
          <w:tcPr>
            <w:tcW w:w="1540" w:type="dxa"/>
            <w:shd w:val="clear" w:color="auto" w:fill="auto"/>
            <w:hideMark/>
          </w:tcPr>
          <w:p w14:paraId="3288B609"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41BC4499"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8</w:t>
            </w:r>
          </w:p>
        </w:tc>
        <w:tc>
          <w:tcPr>
            <w:tcW w:w="5140" w:type="dxa"/>
            <w:shd w:val="clear" w:color="auto" w:fill="auto"/>
            <w:hideMark/>
          </w:tcPr>
          <w:p w14:paraId="6EA06670"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Species disturbance - marine</w:t>
            </w:r>
          </w:p>
        </w:tc>
        <w:tc>
          <w:tcPr>
            <w:tcW w:w="9500" w:type="dxa"/>
            <w:shd w:val="clear" w:color="auto" w:fill="auto"/>
            <w:hideMark/>
          </w:tcPr>
          <w:p w14:paraId="1A86D41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Alteration in the feeding, breeding, or resting behaviors of marine birds, fish, or other aquatic species due to human presence or activities (e.g., recreation, vessel traffic, military exercises) or artifacts and debris associated with activities except pollution impacts (see 22 through 23) and derelict fishing gear (see 09) are assessed through separate stressors.</w:t>
            </w:r>
          </w:p>
        </w:tc>
      </w:tr>
      <w:tr w:rsidR="001050A0" w:rsidRPr="001050A0" w14:paraId="6CD8049B" w14:textId="77777777" w:rsidTr="001050A0">
        <w:trPr>
          <w:trHeight w:val="975"/>
        </w:trPr>
        <w:tc>
          <w:tcPr>
            <w:tcW w:w="1540" w:type="dxa"/>
            <w:shd w:val="clear" w:color="auto" w:fill="auto"/>
            <w:hideMark/>
          </w:tcPr>
          <w:p w14:paraId="0E4E0BA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6322CA5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24.2</w:t>
            </w:r>
          </w:p>
        </w:tc>
        <w:tc>
          <w:tcPr>
            <w:tcW w:w="5140" w:type="dxa"/>
            <w:shd w:val="clear" w:color="auto" w:fill="auto"/>
            <w:hideMark/>
          </w:tcPr>
          <w:p w14:paraId="48B8FA9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Non-point source conventional water pollutants</w:t>
            </w:r>
          </w:p>
        </w:tc>
        <w:tc>
          <w:tcPr>
            <w:tcW w:w="9500" w:type="dxa"/>
            <w:shd w:val="clear" w:color="auto" w:fill="auto"/>
            <w:hideMark/>
          </w:tcPr>
          <w:p w14:paraId="7B72594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Presence or loading of nutrients, sediment, turbidity and oxygen demanding substances from non-point sources. Sources of this stressor include activities that contribute pollutants, including that discharged through stormwater conveyance systems. Stress from point sources (see 24.1) and temperature changes (see 24.3) are evaluated separately.</w:t>
            </w:r>
          </w:p>
        </w:tc>
      </w:tr>
      <w:tr w:rsidR="001050A0" w:rsidRPr="001050A0" w14:paraId="1EF33E85" w14:textId="77777777" w:rsidTr="001050A0">
        <w:trPr>
          <w:trHeight w:val="975"/>
        </w:trPr>
        <w:tc>
          <w:tcPr>
            <w:tcW w:w="1540" w:type="dxa"/>
            <w:shd w:val="clear" w:color="auto" w:fill="auto"/>
            <w:hideMark/>
          </w:tcPr>
          <w:p w14:paraId="3635AC6A"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lastRenderedPageBreak/>
              <w:t>Biophysical Factor</w:t>
            </w:r>
          </w:p>
        </w:tc>
        <w:tc>
          <w:tcPr>
            <w:tcW w:w="1300" w:type="dxa"/>
            <w:shd w:val="clear" w:color="auto" w:fill="auto"/>
            <w:hideMark/>
          </w:tcPr>
          <w:p w14:paraId="44242CF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5.1</w:t>
            </w:r>
          </w:p>
        </w:tc>
        <w:tc>
          <w:tcPr>
            <w:tcW w:w="5140" w:type="dxa"/>
            <w:shd w:val="clear" w:color="auto" w:fill="auto"/>
            <w:hideMark/>
          </w:tcPr>
          <w:p w14:paraId="3ADD93A9"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Dams as fish passage barriers</w:t>
            </w:r>
          </w:p>
        </w:tc>
        <w:tc>
          <w:tcPr>
            <w:tcW w:w="9500" w:type="dxa"/>
            <w:shd w:val="clear" w:color="auto" w:fill="auto"/>
            <w:hideMark/>
          </w:tcPr>
          <w:p w14:paraId="6176A05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Dams that block or impede movements and migrations of fish and other aquatic animals. This stressor is intended to evaluate only effects on fish and other aquatic species; effects on flow regulation (see L) and physical processes (see M) are evaluated as separate stressors. Fish passage barriers created by culverts and other structures are evaluated as separate stressors (see E2).</w:t>
            </w:r>
          </w:p>
        </w:tc>
      </w:tr>
      <w:tr w:rsidR="001050A0" w:rsidRPr="001050A0" w14:paraId="1BB58EC8" w14:textId="77777777" w:rsidTr="001050A0">
        <w:trPr>
          <w:trHeight w:val="975"/>
        </w:trPr>
        <w:tc>
          <w:tcPr>
            <w:tcW w:w="1540" w:type="dxa"/>
            <w:shd w:val="clear" w:color="auto" w:fill="auto"/>
            <w:hideMark/>
          </w:tcPr>
          <w:p w14:paraId="74B23E4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750BC19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12</w:t>
            </w:r>
          </w:p>
        </w:tc>
        <w:tc>
          <w:tcPr>
            <w:tcW w:w="5140" w:type="dxa"/>
            <w:shd w:val="clear" w:color="auto" w:fill="auto"/>
            <w:hideMark/>
          </w:tcPr>
          <w:p w14:paraId="5F0FC19C"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Flow regulation -- prevention of flood flows</w:t>
            </w:r>
          </w:p>
        </w:tc>
        <w:tc>
          <w:tcPr>
            <w:tcW w:w="9500" w:type="dxa"/>
            <w:shd w:val="clear" w:color="auto" w:fill="auto"/>
            <w:hideMark/>
          </w:tcPr>
          <w:p w14:paraId="7A83573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Modification of flood flows  by flow regulation in river and stream systems. Sources of this stressor are the impoundment of water by dams and the operation of dams for flood control and/or hydroelectric power production. These structures may also be barriers to movement and migration of fish and aquatic animals, this is evaluated separately (see 05.1).</w:t>
            </w:r>
          </w:p>
        </w:tc>
      </w:tr>
      <w:tr w:rsidR="001050A0" w:rsidRPr="001050A0" w14:paraId="55BEB228" w14:textId="77777777" w:rsidTr="001050A0">
        <w:trPr>
          <w:trHeight w:val="975"/>
        </w:trPr>
        <w:tc>
          <w:tcPr>
            <w:tcW w:w="1540" w:type="dxa"/>
            <w:shd w:val="clear" w:color="auto" w:fill="auto"/>
            <w:hideMark/>
          </w:tcPr>
          <w:p w14:paraId="1F335252"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0EE9C81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13.1</w:t>
            </w:r>
          </w:p>
        </w:tc>
        <w:tc>
          <w:tcPr>
            <w:tcW w:w="5140" w:type="dxa"/>
            <w:shd w:val="clear" w:color="auto" w:fill="auto"/>
            <w:hideMark/>
          </w:tcPr>
          <w:p w14:paraId="39ADEBF4"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In channel structural barriers to water, sediment, debris flows</w:t>
            </w:r>
          </w:p>
        </w:tc>
        <w:tc>
          <w:tcPr>
            <w:tcW w:w="9500" w:type="dxa"/>
            <w:shd w:val="clear" w:color="auto" w:fill="auto"/>
            <w:hideMark/>
          </w:tcPr>
          <w:p w14:paraId="6041C20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Structures that block or restrict movement of water, sediment, or debris flow in the river or stream channel and associated impacts such as changes in sediment and debris delivery.  These structures may also be barriers to movement and migration of fish and aquatic animals, this stress is evaluated separately see 05.2.  Impacts associated with dams also are evaluated separately (see 05.1 and 12).</w:t>
            </w:r>
          </w:p>
        </w:tc>
      </w:tr>
      <w:tr w:rsidR="001050A0" w:rsidRPr="001050A0" w14:paraId="1DD455F8" w14:textId="77777777" w:rsidTr="001050A0">
        <w:trPr>
          <w:trHeight w:val="975"/>
        </w:trPr>
        <w:tc>
          <w:tcPr>
            <w:tcW w:w="1540" w:type="dxa"/>
            <w:shd w:val="clear" w:color="auto" w:fill="auto"/>
            <w:hideMark/>
          </w:tcPr>
          <w:p w14:paraId="0FC59A4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2ABC3EE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1.1</w:t>
            </w:r>
          </w:p>
        </w:tc>
        <w:tc>
          <w:tcPr>
            <w:tcW w:w="5140" w:type="dxa"/>
            <w:shd w:val="clear" w:color="auto" w:fill="auto"/>
            <w:hideMark/>
          </w:tcPr>
          <w:p w14:paraId="12C6FF9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Conversion of land cover for residential, commercial, and industrial use</w:t>
            </w:r>
          </w:p>
        </w:tc>
        <w:tc>
          <w:tcPr>
            <w:tcW w:w="9500" w:type="dxa"/>
            <w:shd w:val="clear" w:color="auto" w:fill="auto"/>
            <w:hideMark/>
          </w:tcPr>
          <w:p w14:paraId="7747F02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Conversion of land cover to one dominated by residential, commercial, and/or industrial development . This stressor has to do with the reduction in extent and quality of habitat due to conversion. In the terrestrial and nearshore environments sources include residential and commercial development; in the marine environment consider conversion for marinas and other marine uses.  Agriculture and aquaculture (see 01.2) and dredging (see 01.3) are assessed separately. Stress associated with disturbance due to human activities (including in developed areas) is addressed separately (see 07).  Terrestrial habitat fragmentation (see 02), shoreline hardening (see 03),  and barriers to terrestrial animal movement and migration (see 06) are addressed as separate stressors.  Pollution impacts are assessed through separate stressors (see 22 through 23).  Note that conversion can be  step-wise process where, for example, native forest land land is converted to managed forests which are then under stress for further conversion to agriculture or residential and commercial development.</w:t>
            </w:r>
          </w:p>
        </w:tc>
      </w:tr>
      <w:tr w:rsidR="001050A0" w:rsidRPr="001050A0" w14:paraId="4801931C" w14:textId="77777777" w:rsidTr="001050A0">
        <w:trPr>
          <w:trHeight w:val="975"/>
        </w:trPr>
        <w:tc>
          <w:tcPr>
            <w:tcW w:w="1540" w:type="dxa"/>
            <w:shd w:val="clear" w:color="auto" w:fill="auto"/>
            <w:hideMark/>
          </w:tcPr>
          <w:p w14:paraId="75F2CA41"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7E46248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23</w:t>
            </w:r>
          </w:p>
        </w:tc>
        <w:tc>
          <w:tcPr>
            <w:tcW w:w="5140" w:type="dxa"/>
            <w:shd w:val="clear" w:color="auto" w:fill="auto"/>
            <w:hideMark/>
          </w:tcPr>
          <w:p w14:paraId="63F47E99"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Large spills</w:t>
            </w:r>
          </w:p>
        </w:tc>
        <w:tc>
          <w:tcPr>
            <w:tcW w:w="9500" w:type="dxa"/>
            <w:shd w:val="clear" w:color="auto" w:fill="auto"/>
            <w:hideMark/>
          </w:tcPr>
          <w:p w14:paraId="35A9A3E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Spills of large amounts of oil &amp; hazardous substances, greater than 100 gallons. Sources include large oil spills from large events  related to vessels (including derelict vessels), road and rail traffic, pipelines, and industrial facilities. Stress from smaller more routine spills and releases such as those that might occur at gas stations and marinas is evaluated separately (see  21 and 22).</w:t>
            </w:r>
          </w:p>
        </w:tc>
      </w:tr>
      <w:tr w:rsidR="001050A0" w:rsidRPr="001050A0" w14:paraId="71B6C647" w14:textId="77777777" w:rsidTr="001050A0">
        <w:trPr>
          <w:trHeight w:val="975"/>
        </w:trPr>
        <w:tc>
          <w:tcPr>
            <w:tcW w:w="1540" w:type="dxa"/>
            <w:shd w:val="clear" w:color="auto" w:fill="auto"/>
            <w:hideMark/>
          </w:tcPr>
          <w:p w14:paraId="7F7569D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566B5B8A"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20.1</w:t>
            </w:r>
          </w:p>
        </w:tc>
        <w:tc>
          <w:tcPr>
            <w:tcW w:w="5140" w:type="dxa"/>
            <w:shd w:val="clear" w:color="auto" w:fill="auto"/>
            <w:hideMark/>
          </w:tcPr>
          <w:p w14:paraId="6FA39A91"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Air pollution from mobile sources</w:t>
            </w:r>
          </w:p>
        </w:tc>
        <w:tc>
          <w:tcPr>
            <w:tcW w:w="9500" w:type="dxa"/>
            <w:shd w:val="clear" w:color="auto" w:fill="auto"/>
            <w:hideMark/>
          </w:tcPr>
          <w:p w14:paraId="726D99EB"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Presence or loading of chemicals or particles in the atmosphere that can cause discomfort, disease, or death to humans and harm the natural environment, (including via deposition to land and water) resulting from mobile sources such as car, truck, and vessel traffic.  Noise and light pollution are evaluated separately (see 07.1).</w:t>
            </w:r>
          </w:p>
        </w:tc>
      </w:tr>
      <w:tr w:rsidR="001050A0" w:rsidRPr="001050A0" w14:paraId="091C8087" w14:textId="77777777" w:rsidTr="001050A0">
        <w:trPr>
          <w:trHeight w:val="975"/>
        </w:trPr>
        <w:tc>
          <w:tcPr>
            <w:tcW w:w="1540" w:type="dxa"/>
            <w:shd w:val="clear" w:color="auto" w:fill="auto"/>
            <w:hideMark/>
          </w:tcPr>
          <w:p w14:paraId="0BE18004"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64F8D46B"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3</w:t>
            </w:r>
          </w:p>
        </w:tc>
        <w:tc>
          <w:tcPr>
            <w:tcW w:w="5140" w:type="dxa"/>
            <w:shd w:val="clear" w:color="auto" w:fill="auto"/>
            <w:hideMark/>
          </w:tcPr>
          <w:p w14:paraId="38FA0B3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Shoreline hardening</w:t>
            </w:r>
          </w:p>
        </w:tc>
        <w:tc>
          <w:tcPr>
            <w:tcW w:w="9500" w:type="dxa"/>
            <w:shd w:val="clear" w:color="auto" w:fill="auto"/>
            <w:hideMark/>
          </w:tcPr>
          <w:p w14:paraId="6B8C86C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Change of shoreline habitat or features  to conditions that reduce habitat extent and/or disrupt shoreline processes. The primary source of this stressor is the construction of shoreline infrastructure that produces a hard linear surface along the beach or stream bank to reduce erosion (e.g., sea walls, revetments, rip-rap, and rock piles#160;).  Habitat conversion for residential, commercial and industrial development and other uses is evaluated separately (see 01).</w:t>
            </w:r>
          </w:p>
        </w:tc>
      </w:tr>
      <w:tr w:rsidR="001050A0" w:rsidRPr="001050A0" w14:paraId="707439E2" w14:textId="77777777" w:rsidTr="001050A0">
        <w:trPr>
          <w:trHeight w:val="975"/>
        </w:trPr>
        <w:tc>
          <w:tcPr>
            <w:tcW w:w="1540" w:type="dxa"/>
            <w:shd w:val="clear" w:color="auto" w:fill="auto"/>
            <w:hideMark/>
          </w:tcPr>
          <w:p w14:paraId="257B7FE7"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0DE697F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19.2</w:t>
            </w:r>
          </w:p>
        </w:tc>
        <w:tc>
          <w:tcPr>
            <w:tcW w:w="5140" w:type="dxa"/>
            <w:shd w:val="clear" w:color="auto" w:fill="auto"/>
            <w:hideMark/>
          </w:tcPr>
          <w:p w14:paraId="62617AEF"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Introduction, spread, or amplification of human pathogens</w:t>
            </w:r>
          </w:p>
        </w:tc>
        <w:tc>
          <w:tcPr>
            <w:tcW w:w="9500" w:type="dxa"/>
            <w:shd w:val="clear" w:color="auto" w:fill="auto"/>
            <w:hideMark/>
          </w:tcPr>
          <w:p w14:paraId="50B5FB3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Introduction, spread, or amplification of disease-causing or parasitic organisms to humans. Sources of this stressor include release human and animal waste. This is intended to evaluate effects on humans due to, for example, degradation in water quality and the associated degradation in the quality of aquatic species, such as shellfish, consumed by people.</w:t>
            </w:r>
          </w:p>
        </w:tc>
      </w:tr>
      <w:tr w:rsidR="001050A0" w:rsidRPr="001050A0" w14:paraId="0B433252" w14:textId="77777777" w:rsidTr="001050A0">
        <w:trPr>
          <w:trHeight w:val="975"/>
        </w:trPr>
        <w:tc>
          <w:tcPr>
            <w:tcW w:w="1540" w:type="dxa"/>
            <w:shd w:val="clear" w:color="auto" w:fill="auto"/>
            <w:hideMark/>
          </w:tcPr>
          <w:p w14:paraId="35DD946E"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10940739"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6</w:t>
            </w:r>
          </w:p>
        </w:tc>
        <w:tc>
          <w:tcPr>
            <w:tcW w:w="5140" w:type="dxa"/>
            <w:shd w:val="clear" w:color="auto" w:fill="auto"/>
            <w:hideMark/>
          </w:tcPr>
          <w:p w14:paraId="19E5BF38"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Barriers to terrestrial animal movement and migration</w:t>
            </w:r>
          </w:p>
        </w:tc>
        <w:tc>
          <w:tcPr>
            <w:tcW w:w="9500" w:type="dxa"/>
            <w:shd w:val="clear" w:color="auto" w:fill="auto"/>
            <w:hideMark/>
          </w:tcPr>
          <w:p w14:paraId="1DE592F3"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Structures that block or impede movements and migrations of terrestrial animals such as roads and utility infrastructure.  Expressions of this stressor will depend on the endpoint one is assessing.  For example for terrestrial species such as elk a strong expression of the stressor may be structures such as multi-lane roads; for avian species a strong expression of the stressor may be energy infrastructure such as wind turbines. Disturbance due to human activities (see 07) and terrestrial habitat fragmentation (see 02) are evaluated as separate stressors.</w:t>
            </w:r>
          </w:p>
        </w:tc>
      </w:tr>
      <w:tr w:rsidR="001050A0" w:rsidRPr="001050A0" w14:paraId="023D385D" w14:textId="77777777" w:rsidTr="001050A0">
        <w:trPr>
          <w:trHeight w:val="975"/>
        </w:trPr>
        <w:tc>
          <w:tcPr>
            <w:tcW w:w="1540" w:type="dxa"/>
            <w:shd w:val="clear" w:color="auto" w:fill="auto"/>
            <w:hideMark/>
          </w:tcPr>
          <w:p w14:paraId="2BEE368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lastRenderedPageBreak/>
              <w:t>Biophysical Factor</w:t>
            </w:r>
          </w:p>
        </w:tc>
        <w:tc>
          <w:tcPr>
            <w:tcW w:w="1300" w:type="dxa"/>
            <w:shd w:val="clear" w:color="auto" w:fill="auto"/>
            <w:hideMark/>
          </w:tcPr>
          <w:p w14:paraId="6CAF92F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21.2</w:t>
            </w:r>
          </w:p>
        </w:tc>
        <w:tc>
          <w:tcPr>
            <w:tcW w:w="5140" w:type="dxa"/>
            <w:shd w:val="clear" w:color="auto" w:fill="auto"/>
            <w:hideMark/>
          </w:tcPr>
          <w:p w14:paraId="26A6F6F6"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Non-point source, persistent toxic chemicals in aquatic systems</w:t>
            </w:r>
          </w:p>
        </w:tc>
        <w:tc>
          <w:tcPr>
            <w:tcW w:w="9500" w:type="dxa"/>
            <w:shd w:val="clear" w:color="auto" w:fill="auto"/>
            <w:hideMark/>
          </w:tcPr>
          <w:p w14:paraId="6E5D095D"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Presence or loading of persistent toxics from non-point sources, such as runoff from developed areas and roads, including from historic (legacy) sources and small (less than 10 gallons) spill events.  Sources of this stressor include activities that contribute pollutants to surface water runoff, including that discharged through stormwater conveyance systems. Stress from point sources is evaluated separately, see 21.1.</w:t>
            </w:r>
          </w:p>
        </w:tc>
      </w:tr>
      <w:tr w:rsidR="001050A0" w:rsidRPr="001050A0" w14:paraId="13B261AD" w14:textId="77777777" w:rsidTr="001050A0">
        <w:trPr>
          <w:trHeight w:val="975"/>
        </w:trPr>
        <w:tc>
          <w:tcPr>
            <w:tcW w:w="1540" w:type="dxa"/>
            <w:shd w:val="clear" w:color="auto" w:fill="auto"/>
            <w:hideMark/>
          </w:tcPr>
          <w:p w14:paraId="01A7F9C4"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Biophysical Factor</w:t>
            </w:r>
          </w:p>
        </w:tc>
        <w:tc>
          <w:tcPr>
            <w:tcW w:w="1300" w:type="dxa"/>
            <w:shd w:val="clear" w:color="auto" w:fill="auto"/>
            <w:hideMark/>
          </w:tcPr>
          <w:p w14:paraId="24258D9A"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13.2</w:t>
            </w:r>
          </w:p>
        </w:tc>
        <w:tc>
          <w:tcPr>
            <w:tcW w:w="5140" w:type="dxa"/>
            <w:shd w:val="clear" w:color="auto" w:fill="auto"/>
            <w:hideMark/>
          </w:tcPr>
          <w:p w14:paraId="4FB61CAA"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Other structural barriers to water, sediment, debris flows</w:t>
            </w:r>
          </w:p>
        </w:tc>
        <w:tc>
          <w:tcPr>
            <w:tcW w:w="9500" w:type="dxa"/>
            <w:shd w:val="clear" w:color="auto" w:fill="auto"/>
            <w:hideMark/>
          </w:tcPr>
          <w:p w14:paraId="187676A5" w14:textId="77777777" w:rsidR="001050A0" w:rsidRPr="001050A0" w:rsidRDefault="001050A0" w:rsidP="001050A0">
            <w:pPr>
              <w:spacing w:after="0" w:line="240" w:lineRule="auto"/>
              <w:rPr>
                <w:rFonts w:ascii="Calibri" w:eastAsia="Times New Roman" w:hAnsi="Calibri" w:cs="Times New Roman"/>
                <w:color w:val="000000"/>
              </w:rPr>
            </w:pPr>
            <w:r w:rsidRPr="001050A0">
              <w:rPr>
                <w:rFonts w:ascii="Calibri" w:eastAsia="Times New Roman" w:hAnsi="Calibri" w:cs="Times New Roman"/>
                <w:color w:val="000000"/>
              </w:rPr>
              <w:t>Structures that block or restrict movement of water, sediment, or debris flow into the floodplain, such as levees and associated impacts such as changes in sediment and debris delivery.  These structures may also be barriers to movement and migration of fish and aquatic animals, this stress is evaluated separately see 05.2.  Impacts associated with dams also are evaluated separately (see 05.1 and 12).</w:t>
            </w:r>
          </w:p>
        </w:tc>
      </w:tr>
    </w:tbl>
    <w:p w14:paraId="2476B235" w14:textId="77777777" w:rsidR="001050A0" w:rsidRDefault="001050A0" w:rsidP="001050A0">
      <w:pPr>
        <w:rPr>
          <w:rFonts w:ascii="Arial" w:hAnsi="Arial" w:cs="Arial"/>
          <w:color w:val="000000"/>
          <w:sz w:val="27"/>
          <w:szCs w:val="27"/>
        </w:rPr>
      </w:pPr>
    </w:p>
    <w:p w14:paraId="24241B0B" w14:textId="6A068A53" w:rsidR="00EB0781" w:rsidRPr="00EB0781" w:rsidRDefault="00EB0781" w:rsidP="00D55723">
      <w:pPr>
        <w:rPr>
          <w:rFonts w:ascii="Trebuchet MS" w:eastAsia="Times New Roman" w:hAnsi="Trebuchet MS" w:cs="Times New Roman"/>
          <w:b/>
          <w:bCs/>
          <w:caps/>
          <w:color w:val="003A5D"/>
          <w:sz w:val="24"/>
          <w:szCs w:val="24"/>
        </w:rPr>
      </w:pPr>
      <w:r>
        <w:rPr>
          <w:rFonts w:ascii="Trebuchet MS" w:eastAsia="Times New Roman" w:hAnsi="Trebuchet MS" w:cs="Times New Roman"/>
          <w:b/>
          <w:bCs/>
          <w:color w:val="003A5D"/>
          <w:sz w:val="24"/>
          <w:szCs w:val="24"/>
        </w:rPr>
        <w:t>C</w:t>
      </w:r>
      <w:r w:rsidRPr="00EB0781">
        <w:rPr>
          <w:rFonts w:ascii="Trebuchet MS" w:eastAsia="Times New Roman" w:hAnsi="Trebuchet MS" w:cs="Times New Roman"/>
          <w:b/>
          <w:bCs/>
          <w:color w:val="003A5D"/>
          <w:sz w:val="24"/>
          <w:szCs w:val="24"/>
        </w:rPr>
        <w:t>. CONCEPTUAL MODELS</w:t>
      </w:r>
    </w:p>
    <w:p w14:paraId="3F99A732"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section describes the contributing factors and underlying conditions related to ecosystem recovery in the LIO . Conceptual models illustrate the relationship between contributing factors and different types of degradation of ecosystem and human wellbeing components.</w:t>
      </w:r>
    </w:p>
    <w:p w14:paraId="6F870DFF"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KEY AND DEFINITIONS FOR CONCEPTUAL MODELS</w:t>
      </w:r>
    </w:p>
    <w:p w14:paraId="2B30F4C9" w14:textId="77777777" w:rsidR="00EB0781" w:rsidRPr="00EB0781" w:rsidRDefault="00EB0781" w:rsidP="00EB0781">
      <w:pPr>
        <w:rPr>
          <w:rFonts w:ascii="Times New Roman" w:hAnsi="Times New Roman"/>
          <w:sz w:val="24"/>
          <w:szCs w:val="24"/>
        </w:rPr>
      </w:pPr>
      <w:r w:rsidRPr="00EB0781">
        <w:rPr>
          <w:rFonts w:ascii="Arial" w:hAnsi="Arial" w:cs="Arial"/>
          <w:color w:val="000000"/>
          <w:sz w:val="27"/>
          <w:szCs w:val="27"/>
        </w:rPr>
        <w:br/>
      </w:r>
      <w:r w:rsidRPr="00EB0781">
        <w:rPr>
          <w:rFonts w:ascii="Times New Roman" w:hAnsi="Times New Roman"/>
          <w:noProof/>
          <w:sz w:val="24"/>
          <w:szCs w:val="24"/>
        </w:rPr>
        <w:drawing>
          <wp:inline distT="0" distB="0" distL="0" distR="0" wp14:anchorId="52CC7F57" wp14:editId="0A3E1C07">
            <wp:extent cx="11000096" cy="2899898"/>
            <wp:effectExtent l="0" t="0" r="0" b="0"/>
            <wp:docPr id="37" name="Picture 37" descr="C:\Users\stacy.vynne\Documents\Miradi Files\LIO\Final LIO Report Generation\CM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stacy.vynne\Documents\Miradi Files\LIO\Final LIO Report Generation\CMKey.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1007976" cy="2901975"/>
                    </a:xfrm>
                    <a:prstGeom prst="rect">
                      <a:avLst/>
                    </a:prstGeom>
                    <a:noFill/>
                    <a:ln>
                      <a:noFill/>
                    </a:ln>
                  </pic:spPr>
                </pic:pic>
              </a:graphicData>
            </a:graphic>
          </wp:inline>
        </w:drawing>
      </w:r>
    </w:p>
    <w:p w14:paraId="102B9452" w14:textId="77777777" w:rsidR="00EB0781" w:rsidRPr="00EB0781" w:rsidRDefault="00EB0781" w:rsidP="00EB0781">
      <w:pPr>
        <w:spacing w:after="0" w:line="240" w:lineRule="auto"/>
        <w:rPr>
          <w:rFonts w:ascii="Arial" w:eastAsia="Times New Roman" w:hAnsi="Arial" w:cs="Arial"/>
          <w:color w:val="000000"/>
          <w:sz w:val="20"/>
          <w:szCs w:val="20"/>
        </w:rPr>
      </w:pPr>
    </w:p>
    <w:p w14:paraId="72E5C456" w14:textId="77777777" w:rsidR="00EB0781" w:rsidRPr="00EB0781" w:rsidRDefault="00EB0781" w:rsidP="00EB0781">
      <w:pPr>
        <w:spacing w:after="0" w:line="240" w:lineRule="auto"/>
        <w:rPr>
          <w:rFonts w:ascii="Arial" w:eastAsia="Times New Roman" w:hAnsi="Arial" w:cs="Arial"/>
          <w:color w:val="000000"/>
          <w:sz w:val="18"/>
          <w:szCs w:val="18"/>
        </w:rPr>
      </w:pPr>
      <w:r w:rsidRPr="00EB0781">
        <w:rPr>
          <w:rFonts w:ascii="Arial" w:eastAsia="Times New Roman" w:hAnsi="Arial" w:cs="Arial"/>
          <w:b/>
          <w:bCs/>
          <w:color w:val="000000"/>
          <w:sz w:val="18"/>
          <w:szCs w:val="18"/>
        </w:rPr>
        <w:t>Figure 2. Conceptual Model Key</w:t>
      </w:r>
    </w:p>
    <w:p w14:paraId="73A9FA12" w14:textId="45A26486" w:rsidR="00EB0781" w:rsidRPr="00EB0781" w:rsidRDefault="00EB0781" w:rsidP="00EB0781">
      <w:pPr>
        <w:rPr>
          <w:rFonts w:ascii="Times New Roman" w:hAnsi="Times New Roman" w:cs="Times New Roman"/>
          <w:sz w:val="24"/>
          <w:szCs w:val="24"/>
        </w:rPr>
      </w:pPr>
    </w:p>
    <w:p w14:paraId="5AEB74DB"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In this section, we use the following terminology to describe the current context in our LIO: </w:t>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rPr>
        <w:br/>
        <w:t>A </w:t>
      </w:r>
      <w:r w:rsidRPr="00EB0781">
        <w:rPr>
          <w:rFonts w:ascii="Arial" w:eastAsia="Times New Roman" w:hAnsi="Arial" w:cs="Arial"/>
          <w:color w:val="003A5D"/>
          <w:sz w:val="20"/>
          <w:szCs w:val="20"/>
          <w:u w:val="single"/>
        </w:rPr>
        <w:t>strategy</w:t>
      </w:r>
      <w:r w:rsidRPr="00EB0781">
        <w:rPr>
          <w:rFonts w:ascii="Arial" w:eastAsia="Times New Roman" w:hAnsi="Arial" w:cs="Arial"/>
          <w:color w:val="003A5D"/>
          <w:sz w:val="20"/>
          <w:szCs w:val="20"/>
        </w:rPr>
        <w:t> is a bundle of actions that, when combined, are intended to achieve a common goal. Strategies are intended to mitigate pressures or their underlying conditions and root causes, restore ecosystems or species populations, or provide capacity to achieve goals. Strategies include one or more actions (capital projects, programs, etc.) and are designed to achieve specific outcomes, objectives, and goals. </w:t>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u w:val="single"/>
        </w:rPr>
        <w:t>Contributing factors</w:t>
      </w:r>
      <w:r w:rsidRPr="00EB0781">
        <w:rPr>
          <w:rFonts w:ascii="Arial" w:eastAsia="Times New Roman" w:hAnsi="Arial" w:cs="Arial"/>
          <w:color w:val="003A5D"/>
          <w:sz w:val="20"/>
          <w:szCs w:val="20"/>
        </w:rPr>
        <w:t> include the indirect threats, root causes, underlying factors, and other factors contributing to the existence or persistence of pressures. Contributing factors can be social, political or ecological and they can also include opportunities or factors outside the scope of the recovery effort, such as regional population growth or global market forces. </w:t>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u w:val="single"/>
        </w:rPr>
        <w:t>Pressure sources</w:t>
      </w:r>
      <w:r w:rsidRPr="00EB0781">
        <w:rPr>
          <w:rFonts w:ascii="Arial" w:eastAsia="Times New Roman" w:hAnsi="Arial" w:cs="Arial"/>
          <w:color w:val="003A5D"/>
          <w:sz w:val="20"/>
          <w:szCs w:val="20"/>
        </w:rPr>
        <w:t> are human actions that contribute to the creation of stressors that degrade the ecosystem of human wellbeing components. Pressure sources, although often damaging to the environment are often beneficial to humans in other ways. </w:t>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u w:val="single"/>
        </w:rPr>
        <w:lastRenderedPageBreak/>
        <w:t>Stressors</w:t>
      </w:r>
      <w:r w:rsidRPr="00EB0781">
        <w:rPr>
          <w:rFonts w:ascii="Arial" w:eastAsia="Times New Roman" w:hAnsi="Arial" w:cs="Arial"/>
          <w:color w:val="003A5D"/>
          <w:sz w:val="20"/>
          <w:szCs w:val="20"/>
        </w:rPr>
        <w:t> are the most proximate causes of ecosystem degradation, such as shoreline hardening, land conversion or altered flows. </w:t>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u w:val="single"/>
        </w:rPr>
        <w:t>Components</w:t>
      </w:r>
      <w:r w:rsidRPr="00EB0781">
        <w:rPr>
          <w:rFonts w:ascii="Arial" w:eastAsia="Times New Roman" w:hAnsi="Arial" w:cs="Arial"/>
          <w:color w:val="003A5D"/>
          <w:sz w:val="20"/>
          <w:szCs w:val="20"/>
        </w:rPr>
        <w:t> are the parts of the ecosystem or the attributes of human wellbeing that are the focus of the LIO's ecosystem recovery efforts.</w:t>
      </w:r>
    </w:p>
    <w:p w14:paraId="4F839DD9" w14:textId="2A802C1E" w:rsidR="00EB0781" w:rsidRPr="00EB0781" w:rsidRDefault="00EB0781" w:rsidP="00EB0781">
      <w:pPr>
        <w:rPr>
          <w:rFonts w:ascii="Trebuchet MS" w:eastAsia="Times New Roman" w:hAnsi="Trebuchet MS" w:cs="Times New Roman"/>
          <w:b/>
          <w:bCs/>
          <w:caps/>
          <w:color w:val="003A5D"/>
          <w:sz w:val="24"/>
          <w:szCs w:val="24"/>
        </w:rPr>
      </w:pPr>
      <w:r w:rsidRPr="00EB0781">
        <w:rPr>
          <w:rFonts w:ascii="Arial" w:hAnsi="Arial" w:cs="Arial"/>
          <w:color w:val="000000"/>
          <w:sz w:val="27"/>
          <w:szCs w:val="27"/>
        </w:rPr>
        <w:br/>
      </w:r>
      <w:r w:rsidRPr="00EB0781">
        <w:rPr>
          <w:rFonts w:ascii="Trebuchet MS" w:eastAsia="Times New Roman" w:hAnsi="Trebuchet MS" w:cs="Times New Roman"/>
          <w:b/>
          <w:bCs/>
          <w:color w:val="003A5D"/>
          <w:sz w:val="24"/>
          <w:szCs w:val="24"/>
        </w:rPr>
        <w:t xml:space="preserve">FRESHWATER LEVEES </w:t>
      </w:r>
    </w:p>
    <w:p w14:paraId="074B7D41"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The diagram below illustrates our assumptions about the current context in the LIO and some of the factors underlying the existence and persistence of some of the critical pressures on ecosystem and human wellbeing components.</w:t>
      </w:r>
    </w:p>
    <w:p w14:paraId="7610DDE8" w14:textId="77777777" w:rsidR="00EB0781" w:rsidRPr="00EB0781" w:rsidRDefault="00EB0781" w:rsidP="00EB0781">
      <w:pPr>
        <w:rPr>
          <w:rFonts w:ascii="Times New Roman" w:hAnsi="Times New Roman" w:cs="Times New Roman"/>
          <w:sz w:val="24"/>
          <w:szCs w:val="24"/>
        </w:rPr>
      </w:pPr>
      <w:r w:rsidRPr="00EB0781">
        <w:rPr>
          <w:rFonts w:ascii="Arial" w:hAnsi="Arial" w:cs="Arial"/>
          <w:color w:val="000000"/>
          <w:sz w:val="27"/>
          <w:szCs w:val="27"/>
        </w:rPr>
        <w:br/>
      </w:r>
    </w:p>
    <w:p w14:paraId="001E0F70"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drawing>
          <wp:inline distT="0" distB="0" distL="0" distR="0" wp14:anchorId="0BC5EFD8" wp14:editId="438EE6E5">
            <wp:extent cx="8572500" cy="4105275"/>
            <wp:effectExtent l="0" t="0" r="0" b="9525"/>
            <wp:docPr id="39" name="Picture 39" descr="C:\Users\stacy.vynne\Documents\Miradi Files\LIO\Final LIO Report Generation\SouthSOundApp\images\CM2380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tacy.vynne\Documents\Miradi Files\LIO\Final LIO Report Generation\SouthSOundApp\images\CM23808.pn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8572500" cy="4105275"/>
                    </a:xfrm>
                    <a:prstGeom prst="rect">
                      <a:avLst/>
                    </a:prstGeom>
                    <a:noFill/>
                    <a:ln>
                      <a:noFill/>
                    </a:ln>
                  </pic:spPr>
                </pic:pic>
              </a:graphicData>
            </a:graphic>
          </wp:inline>
        </w:drawing>
      </w:r>
    </w:p>
    <w:p w14:paraId="62E48049"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HOUSING AND URBAN AREAS </w:t>
      </w:r>
    </w:p>
    <w:p w14:paraId="731A54D9"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the current context in the LIO and some of the factors underlying the existence and persistence of some of the critical pressures on ecosystem and human wellbeing components. </w:t>
      </w:r>
    </w:p>
    <w:p w14:paraId="5435EAFD" w14:textId="77777777" w:rsidR="00EB0781" w:rsidRPr="00EB0781" w:rsidRDefault="00EB0781" w:rsidP="00EB0781">
      <w:pPr>
        <w:rPr>
          <w:rFonts w:ascii="Times New Roman" w:hAnsi="Times New Roman" w:cs="Times New Roman"/>
          <w:sz w:val="24"/>
          <w:szCs w:val="24"/>
        </w:rPr>
      </w:pPr>
      <w:r w:rsidRPr="00EB0781">
        <w:rPr>
          <w:rFonts w:ascii="Arial" w:hAnsi="Arial" w:cs="Arial"/>
          <w:color w:val="000000"/>
          <w:sz w:val="27"/>
          <w:szCs w:val="27"/>
        </w:rPr>
        <w:br/>
      </w:r>
    </w:p>
    <w:p w14:paraId="3384C3F4"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5C3CA639" wp14:editId="1DC1BA0B">
            <wp:extent cx="8572500" cy="5200650"/>
            <wp:effectExtent l="0" t="0" r="0" b="0"/>
            <wp:docPr id="40" name="Picture 40" descr="C:\Users\stacy.vynne\Documents\Miradi Files\LIO\Final LIO Report Generation\SouthSOundApp\images\CM236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tacy.vynne\Documents\Miradi Files\LIO\Final LIO Report Generation\SouthSOundApp\images\CM23615.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8572500" cy="5200650"/>
                    </a:xfrm>
                    <a:prstGeom prst="rect">
                      <a:avLst/>
                    </a:prstGeom>
                    <a:noFill/>
                    <a:ln>
                      <a:noFill/>
                    </a:ln>
                  </pic:spPr>
                </pic:pic>
              </a:graphicData>
            </a:graphic>
          </wp:inline>
        </w:drawing>
      </w:r>
    </w:p>
    <w:p w14:paraId="23627014"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MARINE LEVEES, FLOODGATES AND TIDEGATES </w:t>
      </w:r>
    </w:p>
    <w:p w14:paraId="127276E6"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the current context in the LIO and some of the factors underlying the existence and persistence of some of the critical pressures on ecosystem and human wellbeing components. </w:t>
      </w:r>
    </w:p>
    <w:p w14:paraId="4C4821E8" w14:textId="0D54C8BF" w:rsidR="00EB0781" w:rsidRPr="00EB0781" w:rsidRDefault="00EB0781" w:rsidP="00EB0781">
      <w:pPr>
        <w:rPr>
          <w:rFonts w:ascii="Times New Roman" w:hAnsi="Times New Roman" w:cs="Times New Roman"/>
          <w:sz w:val="24"/>
          <w:szCs w:val="24"/>
        </w:rPr>
      </w:pPr>
    </w:p>
    <w:p w14:paraId="06499EA5"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2C0AE99A" wp14:editId="39B075DD">
            <wp:extent cx="8572500" cy="4343400"/>
            <wp:effectExtent l="0" t="0" r="0" b="0"/>
            <wp:docPr id="41" name="Picture 41" descr="C:\Users\stacy.vynne\Documents\Miradi Files\LIO\Final LIO Report Generation\SouthSOundApp\images\CM234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tacy.vynne\Documents\Miradi Files\LIO\Final LIO Report Generation\SouthSOundApp\images\CM23446.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8572500" cy="4343400"/>
                    </a:xfrm>
                    <a:prstGeom prst="rect">
                      <a:avLst/>
                    </a:prstGeom>
                    <a:noFill/>
                    <a:ln>
                      <a:noFill/>
                    </a:ln>
                  </pic:spPr>
                </pic:pic>
              </a:graphicData>
            </a:graphic>
          </wp:inline>
        </w:drawing>
      </w:r>
    </w:p>
    <w:p w14:paraId="4B888635"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MARINE SHORELINE INFRASTRUCTURE </w:t>
      </w:r>
    </w:p>
    <w:p w14:paraId="4F918CB9"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the current context in the LIO and some of the factors underlying the existence and persistence of some of the critical pressures on ecosystem and human wellbeing components. </w:t>
      </w:r>
    </w:p>
    <w:p w14:paraId="1DD07D82" w14:textId="7597BEE8" w:rsidR="00EB0781" w:rsidRPr="00EB0781" w:rsidRDefault="00EB0781" w:rsidP="00EB0781">
      <w:pPr>
        <w:rPr>
          <w:rFonts w:ascii="Times New Roman" w:hAnsi="Times New Roman" w:cs="Times New Roman"/>
          <w:sz w:val="24"/>
          <w:szCs w:val="24"/>
        </w:rPr>
      </w:pPr>
    </w:p>
    <w:p w14:paraId="626BB812"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41A66C9D" wp14:editId="28A187E5">
            <wp:extent cx="8572500" cy="5657850"/>
            <wp:effectExtent l="0" t="0" r="0" b="0"/>
            <wp:docPr id="42" name="Picture 42" descr="C:\Users\stacy.vynne\Documents\Miradi Files\LIO\Final LIO Report Generation\SouthSOundApp\images\CM232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stacy.vynne\Documents\Miradi Files\LIO\Final LIO Report Generation\SouthSOundApp\images\CM23203.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8572500" cy="5657850"/>
                    </a:xfrm>
                    <a:prstGeom prst="rect">
                      <a:avLst/>
                    </a:prstGeom>
                    <a:noFill/>
                    <a:ln>
                      <a:noFill/>
                    </a:ln>
                  </pic:spPr>
                </pic:pic>
              </a:graphicData>
            </a:graphic>
          </wp:inline>
        </w:drawing>
      </w:r>
    </w:p>
    <w:p w14:paraId="2420040F"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OSS </w:t>
      </w:r>
    </w:p>
    <w:p w14:paraId="7B487E39"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the current context in the LIO and some of the factors underlying the existence and persistence of some of the critical pressures on ecosystem and human wellbeing components. </w:t>
      </w:r>
    </w:p>
    <w:p w14:paraId="271F5B8D" w14:textId="3CCCD9F3" w:rsidR="00EB0781" w:rsidRPr="00EB0781" w:rsidRDefault="00EB0781" w:rsidP="00EB0781">
      <w:pPr>
        <w:rPr>
          <w:rFonts w:ascii="Times New Roman" w:hAnsi="Times New Roman" w:cs="Times New Roman"/>
          <w:sz w:val="24"/>
          <w:szCs w:val="24"/>
        </w:rPr>
      </w:pPr>
    </w:p>
    <w:p w14:paraId="7907FA06"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57E73342" wp14:editId="5BA6475D">
            <wp:extent cx="8572500" cy="5857875"/>
            <wp:effectExtent l="0" t="0" r="0" b="9525"/>
            <wp:docPr id="43" name="Picture 43" descr="C:\Users\stacy.vynne\Documents\Miradi Files\LIO\Final LIO Report Generation\SouthSOundApp\images\CM212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tacy.vynne\Documents\Miradi Files\LIO\Final LIO Report Generation\SouthSOundApp\images\CM21218.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8572500" cy="5857875"/>
                    </a:xfrm>
                    <a:prstGeom prst="rect">
                      <a:avLst/>
                    </a:prstGeom>
                    <a:noFill/>
                    <a:ln>
                      <a:noFill/>
                    </a:ln>
                  </pic:spPr>
                </pic:pic>
              </a:graphicData>
            </a:graphic>
          </wp:inline>
        </w:drawing>
      </w:r>
    </w:p>
    <w:p w14:paraId="329AD795"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RUNOFF FROM RESIDENTIAL AND COMMERCIAL LANDS </w:t>
      </w:r>
    </w:p>
    <w:p w14:paraId="794D36AF"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the current context in the LIO and some of the factors underlying the existence and persistence of some of the critical pressures on ecosystem and human wellbeing components. </w:t>
      </w:r>
    </w:p>
    <w:p w14:paraId="2237C353" w14:textId="1B833BE5" w:rsidR="00EB0781" w:rsidRPr="00EB0781" w:rsidRDefault="00EB0781" w:rsidP="00EB0781">
      <w:pPr>
        <w:rPr>
          <w:rFonts w:ascii="Times New Roman" w:hAnsi="Times New Roman" w:cs="Times New Roman"/>
          <w:sz w:val="24"/>
          <w:szCs w:val="24"/>
        </w:rPr>
      </w:pPr>
    </w:p>
    <w:p w14:paraId="504D026C"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150C9334" wp14:editId="1E77F242">
            <wp:extent cx="8572500" cy="5895975"/>
            <wp:effectExtent l="0" t="0" r="0" b="9525"/>
            <wp:docPr id="44" name="Picture 44" descr="C:\Users\stacy.vynne\Documents\Miradi Files\LIO\Final LIO Report Generation\SouthSOundApp\images\CM229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tacy.vynne\Documents\Miradi Files\LIO\Final LIO Report Generation\SouthSOundApp\images\CM22948.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8572500" cy="5895975"/>
                    </a:xfrm>
                    <a:prstGeom prst="rect">
                      <a:avLst/>
                    </a:prstGeom>
                    <a:noFill/>
                    <a:ln>
                      <a:noFill/>
                    </a:ln>
                  </pic:spPr>
                </pic:pic>
              </a:graphicData>
            </a:graphic>
          </wp:inline>
        </w:drawing>
      </w:r>
    </w:p>
    <w:p w14:paraId="15FB3185" w14:textId="6188EC79"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Pr>
          <w:rFonts w:ascii="Trebuchet MS" w:eastAsia="Times New Roman" w:hAnsi="Trebuchet MS" w:cs="Times New Roman"/>
          <w:b/>
          <w:bCs/>
          <w:color w:val="003A5D"/>
          <w:sz w:val="24"/>
          <w:szCs w:val="24"/>
        </w:rPr>
        <w:t>D</w:t>
      </w:r>
      <w:r w:rsidRPr="00EB0781">
        <w:rPr>
          <w:rFonts w:ascii="Trebuchet MS" w:eastAsia="Times New Roman" w:hAnsi="Trebuchet MS" w:cs="Times New Roman"/>
          <w:b/>
          <w:bCs/>
          <w:color w:val="003A5D"/>
          <w:sz w:val="24"/>
          <w:szCs w:val="24"/>
        </w:rPr>
        <w:t>. RESULTS CHAINS</w:t>
      </w:r>
    </w:p>
    <w:p w14:paraId="60A76653" w14:textId="24B0A9E0" w:rsidR="00EB0781" w:rsidRPr="00EB0781" w:rsidRDefault="00EB0781" w:rsidP="00EB0781">
      <w:pPr>
        <w:rPr>
          <w:rFonts w:ascii="Times New Roman" w:hAnsi="Times New Roman"/>
          <w:sz w:val="24"/>
          <w:szCs w:val="24"/>
        </w:rPr>
      </w:pPr>
    </w:p>
    <w:p w14:paraId="110D6D89"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KEY AND DEFINITIONS FOR RESULTS CHAINS</w:t>
      </w:r>
    </w:p>
    <w:p w14:paraId="4B2FE7CD" w14:textId="77777777" w:rsidR="00EB0781" w:rsidRPr="00EB0781" w:rsidRDefault="00EB0781" w:rsidP="00EB0781">
      <w:pPr>
        <w:rPr>
          <w:rFonts w:ascii="Times New Roman" w:hAnsi="Times New Roman"/>
          <w:sz w:val="24"/>
          <w:szCs w:val="24"/>
        </w:rPr>
      </w:pPr>
      <w:r w:rsidRPr="00EB0781">
        <w:rPr>
          <w:rFonts w:ascii="Arial" w:hAnsi="Arial" w:cs="Arial"/>
          <w:color w:val="000000"/>
          <w:sz w:val="27"/>
          <w:szCs w:val="27"/>
        </w:rPr>
        <w:lastRenderedPageBreak/>
        <w:br/>
      </w:r>
      <w:r w:rsidRPr="00EB0781">
        <w:rPr>
          <w:rFonts w:ascii="Times New Roman" w:hAnsi="Times New Roman"/>
          <w:noProof/>
          <w:sz w:val="24"/>
          <w:szCs w:val="24"/>
        </w:rPr>
        <w:drawing>
          <wp:inline distT="0" distB="0" distL="0" distR="0" wp14:anchorId="7A958293" wp14:editId="54BF2EDF">
            <wp:extent cx="9773392" cy="3135948"/>
            <wp:effectExtent l="0" t="0" r="0" b="7620"/>
            <wp:docPr id="45" name="Picture 45" descr="C:\Users\stacy.vynne\Documents\Miradi Files\LIO\Final LIO Report Generation\RCKe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stacy.vynne\Documents\Miradi Files\LIO\Final LIO Report Generation\RCKey.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9783472" cy="3139182"/>
                    </a:xfrm>
                    <a:prstGeom prst="rect">
                      <a:avLst/>
                    </a:prstGeom>
                    <a:noFill/>
                    <a:ln>
                      <a:noFill/>
                    </a:ln>
                  </pic:spPr>
                </pic:pic>
              </a:graphicData>
            </a:graphic>
          </wp:inline>
        </w:drawing>
      </w:r>
    </w:p>
    <w:p w14:paraId="07DC84CF" w14:textId="77777777" w:rsidR="00EB0781" w:rsidRPr="00EB0781" w:rsidRDefault="00EB0781" w:rsidP="00EB0781">
      <w:pPr>
        <w:spacing w:after="0" w:line="240" w:lineRule="auto"/>
        <w:rPr>
          <w:rFonts w:ascii="Arial" w:eastAsia="Times New Roman" w:hAnsi="Arial" w:cs="Arial"/>
          <w:color w:val="000000"/>
          <w:sz w:val="20"/>
          <w:szCs w:val="20"/>
        </w:rPr>
      </w:pPr>
    </w:p>
    <w:p w14:paraId="31DFAACE" w14:textId="77777777" w:rsidR="00EB0781" w:rsidRPr="00EB0781" w:rsidRDefault="00EB0781" w:rsidP="00EB0781">
      <w:pPr>
        <w:spacing w:after="0" w:line="240" w:lineRule="auto"/>
        <w:rPr>
          <w:rFonts w:ascii="Arial" w:eastAsia="Times New Roman" w:hAnsi="Arial" w:cs="Arial"/>
          <w:color w:val="000000"/>
          <w:sz w:val="18"/>
          <w:szCs w:val="18"/>
        </w:rPr>
      </w:pPr>
      <w:r w:rsidRPr="00EB0781">
        <w:rPr>
          <w:rFonts w:ascii="Arial" w:eastAsia="Times New Roman" w:hAnsi="Arial" w:cs="Arial"/>
          <w:b/>
          <w:bCs/>
          <w:color w:val="000000"/>
          <w:sz w:val="18"/>
          <w:szCs w:val="18"/>
        </w:rPr>
        <w:t>Figure 3. Results Chain Key</w:t>
      </w:r>
    </w:p>
    <w:p w14:paraId="6CA85DC0" w14:textId="2AB05C86" w:rsidR="00EB0781" w:rsidRPr="00EB0781" w:rsidRDefault="00EB0781" w:rsidP="00EB0781">
      <w:pPr>
        <w:rPr>
          <w:rFonts w:ascii="Times New Roman" w:hAnsi="Times New Roman" w:cs="Times New Roman"/>
          <w:sz w:val="24"/>
          <w:szCs w:val="24"/>
        </w:rPr>
      </w:pPr>
    </w:p>
    <w:p w14:paraId="12218271"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In this section, we use the following terminology to describe our theories of change: </w:t>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rPr>
        <w:br/>
        <w:t>A </w:t>
      </w:r>
      <w:r w:rsidRPr="00EB0781">
        <w:rPr>
          <w:rFonts w:ascii="Arial" w:eastAsia="Times New Roman" w:hAnsi="Arial" w:cs="Arial"/>
          <w:color w:val="003A5D"/>
          <w:sz w:val="20"/>
          <w:szCs w:val="20"/>
          <w:u w:val="single"/>
        </w:rPr>
        <w:t>strategy</w:t>
      </w:r>
      <w:r w:rsidRPr="00EB0781">
        <w:rPr>
          <w:rFonts w:ascii="Arial" w:eastAsia="Times New Roman" w:hAnsi="Arial" w:cs="Arial"/>
          <w:color w:val="003A5D"/>
          <w:sz w:val="20"/>
          <w:szCs w:val="20"/>
        </w:rPr>
        <w:t> is a bundle of actions that, when combined, are intended to achieve a common goal. Strategies are intended to mitigate pressures or their underlying conditions and root causes, restore ecosystems or species populations, or provide capacity to achieve goals. Strategies include one or more actions (capital projects, programs, etc.) and are designed to achieve specific outcomes, objectives, and goals. </w:t>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u w:val="single"/>
        </w:rPr>
        <w:t>Actions</w:t>
      </w:r>
      <w:r w:rsidRPr="00EB0781">
        <w:rPr>
          <w:rFonts w:ascii="Arial" w:eastAsia="Times New Roman" w:hAnsi="Arial" w:cs="Arial"/>
          <w:color w:val="003A5D"/>
          <w:sz w:val="20"/>
          <w:szCs w:val="20"/>
        </w:rPr>
        <w:t> focus on delivery of a specific outcome or output associated with a desired result. Actions include capital projects (e.g. restoration and acquisition), program development or implementation, education and outreach, research, etc. Actions can be completed on a near-term (i.e. 2 years or less) or longer-term time scale. </w:t>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u w:val="single"/>
        </w:rPr>
        <w:t>Intermediate results</w:t>
      </w:r>
      <w:r w:rsidRPr="00EB0781">
        <w:rPr>
          <w:rFonts w:ascii="Arial" w:eastAsia="Times New Roman" w:hAnsi="Arial" w:cs="Arial"/>
          <w:color w:val="003A5D"/>
          <w:sz w:val="20"/>
          <w:szCs w:val="20"/>
        </w:rPr>
        <w:t> are the expected changes following the implementation of a strategy or action that are necessary steps toward achieving a desired future status or goal. Within a results chain, intermediate results may be identified for results boxes (blue) as well as pressure reduction boxes (purple). </w:t>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u w:val="single"/>
        </w:rPr>
        <w:t>Objectives</w:t>
      </w:r>
      <w:r w:rsidRPr="00EB0781">
        <w:rPr>
          <w:rFonts w:ascii="Arial" w:eastAsia="Times New Roman" w:hAnsi="Arial" w:cs="Arial"/>
          <w:color w:val="003A5D"/>
          <w:sz w:val="20"/>
          <w:szCs w:val="20"/>
        </w:rPr>
        <w:t> are the desired outcomes for a subset of intermediate results, most often those which are easily monitored or those which provide the most useful information about effectiveness of a specific course of action. </w:t>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rPr>
        <w:br/>
      </w:r>
      <w:r w:rsidRPr="00EB0781">
        <w:rPr>
          <w:rFonts w:ascii="Arial" w:eastAsia="Times New Roman" w:hAnsi="Arial" w:cs="Arial"/>
          <w:color w:val="003A5D"/>
          <w:sz w:val="20"/>
          <w:szCs w:val="20"/>
          <w:u w:val="single"/>
        </w:rPr>
        <w:t>Effectiveness indicators</w:t>
      </w:r>
      <w:r w:rsidRPr="00EB0781">
        <w:rPr>
          <w:rFonts w:ascii="Arial" w:eastAsia="Times New Roman" w:hAnsi="Arial" w:cs="Arial"/>
          <w:color w:val="003A5D"/>
          <w:sz w:val="20"/>
          <w:szCs w:val="20"/>
        </w:rPr>
        <w:t> are most often developed for critical intermediate results within a results chain, or those that can provide the most information about whether actions are having the desired effects. They can include indicators of implementation, effectiveness, or validation and are used to assess whether progress is being made toward specific objectives and goals. In the </w:t>
      </w:r>
      <w:r w:rsidRPr="00EB0781">
        <w:rPr>
          <w:rFonts w:ascii="Arial" w:eastAsia="Times New Roman" w:hAnsi="Arial" w:cs="Arial"/>
          <w:i/>
          <w:iCs/>
          <w:color w:val="003A5D"/>
          <w:sz w:val="20"/>
          <w:szCs w:val="20"/>
        </w:rPr>
        <w:t>Measuring Effectiveness</w:t>
      </w:r>
      <w:r w:rsidRPr="00EB0781">
        <w:rPr>
          <w:rFonts w:ascii="Arial" w:eastAsia="Times New Roman" w:hAnsi="Arial" w:cs="Arial"/>
          <w:color w:val="003A5D"/>
          <w:sz w:val="20"/>
          <w:szCs w:val="20"/>
        </w:rPr>
        <w:t>tables in the following section, indicators are rated as follows: 4 = Very High Priority, 3 = High Priority, 2 = Medium Priority, 1 = Low Priority, blank = Priority Not Specified.</w:t>
      </w:r>
    </w:p>
    <w:p w14:paraId="2A95EDE9"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FRESHWATER LEVEES, FLOODGATES, TIDEGATES 1: ENHANCE ONGOING IMPLEMENTATION OF LOCAL SHORELINE AND LAND USE MANAGEMENT, PROTECTION, RESTORATION, INCENTIVE PROGRAMS AND PLANS </w:t>
      </w:r>
    </w:p>
    <w:p w14:paraId="54D4DAB6"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04D75482" w14:textId="6FE6D0D0" w:rsidR="00EB0781" w:rsidRPr="00EB0781" w:rsidRDefault="00EB0781" w:rsidP="00EB0781">
      <w:pPr>
        <w:rPr>
          <w:rFonts w:ascii="Times New Roman" w:hAnsi="Times New Roman" w:cs="Times New Roman"/>
          <w:sz w:val="24"/>
          <w:szCs w:val="24"/>
        </w:rPr>
      </w:pPr>
    </w:p>
    <w:p w14:paraId="53D1B147"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45760963" wp14:editId="5C52F5C7">
            <wp:extent cx="8572500" cy="3362325"/>
            <wp:effectExtent l="0" t="0" r="0" b="9525"/>
            <wp:docPr id="46" name="Picture 46" descr="C:\Users\stacy.vynne\Documents\Miradi Files\LIO\Final LIO Report Generation\SouthSOundApp\images\RC290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tacy.vynne\Documents\Miradi Files\LIO\Final LIO Report Generation\SouthSOundApp\images\RC29004.pn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572500" cy="3362325"/>
                    </a:xfrm>
                    <a:prstGeom prst="rect">
                      <a:avLst/>
                    </a:prstGeom>
                    <a:noFill/>
                    <a:ln>
                      <a:noFill/>
                    </a:ln>
                  </pic:spPr>
                </pic:pic>
              </a:graphicData>
            </a:graphic>
          </wp:inline>
        </w:drawing>
      </w:r>
    </w:p>
    <w:p w14:paraId="2E8AD785"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Freshwater Levees, Floodgates, Tidegates 1: Enhance Ongoing Implementation of Local Shoreline and Land Use Management, Protection, Restoration, Incentive Programs and Plans</w:t>
      </w:r>
    </w:p>
    <w:p w14:paraId="1F7AE448" w14:textId="77777777" w:rsidR="00EB0781" w:rsidRPr="00EB0781" w:rsidRDefault="00EB0781" w:rsidP="00EB0781">
      <w:pPr>
        <w:rPr>
          <w:rFonts w:ascii="Times New Roman" w:hAnsi="Times New Roman"/>
          <w:sz w:val="24"/>
          <w:szCs w:val="24"/>
        </w:rPr>
      </w:pPr>
      <w:r w:rsidRPr="00EB0781">
        <w:rPr>
          <w:rFonts w:ascii="Arial" w:hAnsi="Arial" w:cs="Arial"/>
          <w:color w:val="000000"/>
          <w:sz w:val="27"/>
          <w:szCs w:val="27"/>
        </w:rPr>
        <w:br/>
      </w:r>
    </w:p>
    <w:p w14:paraId="48946543"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 xml:space="preserve">STRATEGY: ENHANCE ONGOING IMPLEMENTATION OF LOCAL SHORELINE AND LAND USE MANAGEMENT, PROTECTION, RESTORATION, INCENTIVE PROGRAMS AND PLANS </w:t>
      </w:r>
    </w:p>
    <w:p w14:paraId="7FFDA3A3"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407B9E6C"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strategies 2, 3, 5, 16, 17</w:t>
      </w:r>
    </w:p>
    <w:p w14:paraId="617978F6" w14:textId="77777777" w:rsidR="00EB0781" w:rsidRPr="00EB0781" w:rsidRDefault="00EB0781" w:rsidP="00EB0781">
      <w:r w:rsidRPr="00EB0781">
        <w:rPr>
          <w:rFonts w:ascii="Arial" w:hAnsi="Arial" w:cs="Arial"/>
          <w:color w:val="000000"/>
          <w:sz w:val="27"/>
          <w:szCs w:val="27"/>
        </w:rPr>
        <w:br/>
      </w:r>
      <w:r w:rsidRPr="00EB0781">
        <w:rPr>
          <w:i/>
          <w:iCs/>
        </w:rPr>
        <w:t>Actions</w:t>
      </w:r>
    </w:p>
    <w:p w14:paraId="0C226C82"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6EFE3D3E"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FA9635D"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405599BD"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EF7AEEB"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1B09B19A"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A80657E"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AC250E4"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BA6048F" w14:textId="77777777" w:rsidR="00EB0781" w:rsidRPr="00EB0781" w:rsidRDefault="00EB0781" w:rsidP="00EB0781">
            <w:pPr>
              <w:spacing w:line="360" w:lineRule="atLeast"/>
              <w:rPr>
                <w:rFonts w:ascii="Trebuchet MS" w:hAnsi="Trebuchet MS"/>
                <w:sz w:val="20"/>
                <w:szCs w:val="20"/>
              </w:rPr>
            </w:pPr>
          </w:p>
        </w:tc>
      </w:tr>
      <w:tr w:rsidR="00EB0781" w:rsidRPr="00EB0781" w14:paraId="66A27A6D"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DEF17A4"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86ADF59"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7071AF7" w14:textId="77777777" w:rsidR="00EB0781" w:rsidRPr="00EB0781" w:rsidRDefault="00EB0781" w:rsidP="00EB0781">
            <w:pPr>
              <w:spacing w:line="360" w:lineRule="atLeast"/>
              <w:rPr>
                <w:rFonts w:ascii="Trebuchet MS" w:hAnsi="Trebuchet MS"/>
                <w:sz w:val="20"/>
                <w:szCs w:val="20"/>
              </w:rPr>
            </w:pPr>
          </w:p>
        </w:tc>
      </w:tr>
      <w:tr w:rsidR="00EB0781" w:rsidRPr="00EB0781" w14:paraId="76C8A129"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23F9BD1"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D4949D6"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FA27753" w14:textId="77777777" w:rsidR="00EB0781" w:rsidRPr="00EB0781" w:rsidRDefault="00EB0781" w:rsidP="00EB0781">
            <w:pPr>
              <w:spacing w:line="360" w:lineRule="atLeast"/>
              <w:rPr>
                <w:rFonts w:ascii="Trebuchet MS" w:hAnsi="Trebuchet MS"/>
                <w:sz w:val="20"/>
                <w:szCs w:val="20"/>
              </w:rPr>
            </w:pPr>
          </w:p>
        </w:tc>
      </w:tr>
      <w:tr w:rsidR="00EB0781" w:rsidRPr="00EB0781" w14:paraId="4F143A97"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9DBA553"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A620558"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D73D08B" w14:textId="77777777" w:rsidR="00EB0781" w:rsidRPr="00EB0781" w:rsidRDefault="00EB0781" w:rsidP="00EB0781">
            <w:pPr>
              <w:spacing w:line="360" w:lineRule="atLeast"/>
              <w:rPr>
                <w:rFonts w:ascii="Trebuchet MS" w:hAnsi="Trebuchet MS"/>
                <w:sz w:val="20"/>
                <w:szCs w:val="20"/>
              </w:rPr>
            </w:pPr>
          </w:p>
        </w:tc>
      </w:tr>
      <w:tr w:rsidR="00EB0781" w:rsidRPr="00EB0781" w14:paraId="0F45BC76"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6188161"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5284DDE"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63FF923" w14:textId="77777777" w:rsidR="00EB0781" w:rsidRPr="00EB0781" w:rsidRDefault="00EB0781" w:rsidP="00EB0781">
            <w:pPr>
              <w:spacing w:line="360" w:lineRule="atLeast"/>
              <w:rPr>
                <w:rFonts w:ascii="Trebuchet MS" w:hAnsi="Trebuchet MS"/>
                <w:sz w:val="20"/>
                <w:szCs w:val="20"/>
              </w:rPr>
            </w:pPr>
          </w:p>
        </w:tc>
      </w:tr>
    </w:tbl>
    <w:p w14:paraId="015BC161" w14:textId="77777777" w:rsidR="00EB0781" w:rsidRPr="00EB0781" w:rsidRDefault="00EB0781" w:rsidP="00EB0781">
      <w:pPr>
        <w:spacing w:line="240" w:lineRule="auto"/>
        <w:rPr>
          <w:sz w:val="24"/>
          <w:szCs w:val="24"/>
        </w:rPr>
      </w:pPr>
      <w:r w:rsidRPr="00EB0781">
        <w:rPr>
          <w:rFonts w:ascii="Arial" w:hAnsi="Arial" w:cs="Arial"/>
          <w:color w:val="000000"/>
          <w:sz w:val="27"/>
          <w:szCs w:val="27"/>
        </w:rPr>
        <w:br/>
      </w:r>
    </w:p>
    <w:p w14:paraId="381656CB"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FRESHWATER LEVEES, FLOODGATES, TIDEGATES 2: IMPLEMENT LOCAL HIGH PRIORITY CAPITAL AND NON-CAPITAL HABITAT PROTECTION AND RESTORATION PROJECTS </w:t>
      </w:r>
    </w:p>
    <w:p w14:paraId="4C0C7832"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156C024A" w14:textId="77777777" w:rsidR="00EB0781" w:rsidRPr="00EB0781" w:rsidRDefault="00EB0781" w:rsidP="00EB0781">
      <w:pPr>
        <w:rPr>
          <w:rFonts w:ascii="Times New Roman" w:hAnsi="Times New Roman" w:cs="Times New Roman"/>
          <w:sz w:val="24"/>
          <w:szCs w:val="24"/>
        </w:rPr>
      </w:pPr>
      <w:r w:rsidRPr="00EB0781">
        <w:rPr>
          <w:rFonts w:ascii="Arial" w:hAnsi="Arial" w:cs="Arial"/>
          <w:color w:val="000000"/>
          <w:sz w:val="27"/>
          <w:szCs w:val="27"/>
        </w:rPr>
        <w:br/>
      </w:r>
    </w:p>
    <w:p w14:paraId="6BA0887A"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drawing>
          <wp:inline distT="0" distB="0" distL="0" distR="0" wp14:anchorId="75ABB2D3" wp14:editId="56F83932">
            <wp:extent cx="8572500" cy="2705100"/>
            <wp:effectExtent l="0" t="0" r="0" b="0"/>
            <wp:docPr id="47" name="Picture 47" descr="C:\Users\stacy.vynne\Documents\Miradi Files\LIO\Final LIO Report Generation\SouthSOundApp\images\RC288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stacy.vynne\Documents\Miradi Files\LIO\Final LIO Report Generation\SouthSOundApp\images\RC28869.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8572500" cy="2705100"/>
                    </a:xfrm>
                    <a:prstGeom prst="rect">
                      <a:avLst/>
                    </a:prstGeom>
                    <a:noFill/>
                    <a:ln>
                      <a:noFill/>
                    </a:ln>
                  </pic:spPr>
                </pic:pic>
              </a:graphicData>
            </a:graphic>
          </wp:inline>
        </w:drawing>
      </w:r>
    </w:p>
    <w:p w14:paraId="08A0A7FC"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Freshwater Levees, Floodgates, Tidegates 2: Implement Local High Priority Capital and Non-Capital Habitat Protection and Restoration Projects</w:t>
      </w:r>
    </w:p>
    <w:p w14:paraId="74F3CC6B" w14:textId="77777777" w:rsidR="00EB0781" w:rsidRPr="00EB0781" w:rsidRDefault="00EB0781" w:rsidP="00EB0781">
      <w:pPr>
        <w:rPr>
          <w:rFonts w:ascii="Times New Roman" w:hAnsi="Times New Roman" w:cs="Times New Roman"/>
          <w:sz w:val="24"/>
          <w:szCs w:val="24"/>
        </w:rPr>
      </w:pPr>
    </w:p>
    <w:p w14:paraId="47F610FE"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IMPLEMENT LOCAL HIGH PRIORITY CAPITAL AND NON-CAPITAL HABITAT PROTECTION AND RESTORATION PROJECTS ()</w:t>
      </w:r>
    </w:p>
    <w:p w14:paraId="45F6BE4F"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25EFB4F7"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Similar to 2016 Action Agenda substrategy 16.1 but is not limited to nearshore and estuaries (includes uplands/terrestrial systems).</w:t>
      </w:r>
    </w:p>
    <w:p w14:paraId="77FE4084" w14:textId="229B85C7" w:rsidR="00EB0781" w:rsidRPr="00EB0781" w:rsidRDefault="00EB0781" w:rsidP="00EB0781">
      <w:pPr>
        <w:rPr>
          <w:rFonts w:ascii="Times New Roman" w:hAnsi="Times New Roman" w:cs="Times New Roman"/>
          <w:sz w:val="24"/>
          <w:szCs w:val="24"/>
        </w:rPr>
      </w:pPr>
    </w:p>
    <w:p w14:paraId="6FFE1185"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00F3080B"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2BAAEBB0"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68830B1"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lastRenderedPageBreak/>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1C0AD9A"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47D0ADDE"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2100FE08"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7208C6A"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6B7914E"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B4E2C2A" w14:textId="77777777" w:rsidR="00EB0781" w:rsidRPr="00EB0781" w:rsidRDefault="00EB0781" w:rsidP="00EB0781">
            <w:pPr>
              <w:spacing w:line="360" w:lineRule="atLeast"/>
              <w:rPr>
                <w:rFonts w:ascii="Trebuchet MS" w:hAnsi="Trebuchet MS"/>
                <w:sz w:val="20"/>
                <w:szCs w:val="20"/>
              </w:rPr>
            </w:pPr>
          </w:p>
        </w:tc>
      </w:tr>
      <w:tr w:rsidR="00EB0781" w:rsidRPr="00EB0781" w14:paraId="7027AA6A"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E1E4A47"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B1469AD"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926CA32" w14:textId="77777777" w:rsidR="00EB0781" w:rsidRPr="00EB0781" w:rsidRDefault="00EB0781" w:rsidP="00EB0781">
            <w:pPr>
              <w:spacing w:line="360" w:lineRule="atLeast"/>
              <w:rPr>
                <w:rFonts w:ascii="Trebuchet MS" w:hAnsi="Trebuchet MS"/>
                <w:sz w:val="20"/>
                <w:szCs w:val="20"/>
              </w:rPr>
            </w:pPr>
          </w:p>
        </w:tc>
      </w:tr>
      <w:tr w:rsidR="00EB0781" w:rsidRPr="00EB0781" w14:paraId="7F1767B1"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CC1A4EF"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BE14B8C"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D1C3B30" w14:textId="77777777" w:rsidR="00EB0781" w:rsidRPr="00EB0781" w:rsidRDefault="00EB0781" w:rsidP="00EB0781">
            <w:pPr>
              <w:spacing w:line="360" w:lineRule="atLeast"/>
              <w:rPr>
                <w:rFonts w:ascii="Trebuchet MS" w:hAnsi="Trebuchet MS"/>
                <w:sz w:val="20"/>
                <w:szCs w:val="20"/>
              </w:rPr>
            </w:pPr>
          </w:p>
        </w:tc>
      </w:tr>
      <w:tr w:rsidR="00EB0781" w:rsidRPr="00EB0781" w14:paraId="59CDE3EF"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FF1E78A"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E4C64E3"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2016-0173 Nisqually Community Forest Acquisition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3C72472" w14:textId="77777777" w:rsidR="00EB0781" w:rsidRPr="00EB0781" w:rsidRDefault="00EB0781" w:rsidP="00EB0781">
            <w:pPr>
              <w:spacing w:line="360" w:lineRule="atLeast"/>
              <w:rPr>
                <w:rFonts w:ascii="Trebuchet MS" w:hAnsi="Trebuchet MS"/>
                <w:sz w:val="20"/>
                <w:szCs w:val="20"/>
              </w:rPr>
            </w:pPr>
          </w:p>
        </w:tc>
      </w:tr>
      <w:tr w:rsidR="00EB0781" w:rsidRPr="00EB0781" w14:paraId="22D47587"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AAE1C58"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482319D"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2016-0094 Henderson Inlet Habitat Protection and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1B61F1D" w14:textId="77777777" w:rsidR="00EB0781" w:rsidRPr="00EB0781" w:rsidRDefault="00EB0781" w:rsidP="00EB0781">
            <w:pPr>
              <w:spacing w:line="360" w:lineRule="atLeast"/>
              <w:rPr>
                <w:rFonts w:ascii="Trebuchet MS" w:hAnsi="Trebuchet MS"/>
                <w:sz w:val="20"/>
                <w:szCs w:val="20"/>
              </w:rPr>
            </w:pPr>
          </w:p>
        </w:tc>
      </w:tr>
      <w:tr w:rsidR="00EB0781" w:rsidRPr="00EB0781" w14:paraId="744370CF"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BAD754A"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8796907"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2016-0092 Titlow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4BF26E1" w14:textId="77777777" w:rsidR="00EB0781" w:rsidRPr="00EB0781" w:rsidRDefault="00EB0781" w:rsidP="00EB0781">
            <w:pPr>
              <w:spacing w:line="360" w:lineRule="atLeast"/>
              <w:rPr>
                <w:rFonts w:ascii="Trebuchet MS" w:hAnsi="Trebuchet MS"/>
                <w:sz w:val="20"/>
                <w:szCs w:val="20"/>
              </w:rPr>
            </w:pPr>
          </w:p>
        </w:tc>
      </w:tr>
      <w:tr w:rsidR="00EB0781" w:rsidRPr="00EB0781" w14:paraId="37CB6165"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A4BA4B1"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2F9FEEE"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2016-1158 South Prairie Creek (River Miles 4.0 to 4.6) Floodplain Project Phase 1</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BB5C820" w14:textId="77777777" w:rsidR="00EB0781" w:rsidRPr="00EB0781" w:rsidRDefault="00EB0781" w:rsidP="00EB0781">
            <w:pPr>
              <w:spacing w:line="360" w:lineRule="atLeast"/>
              <w:rPr>
                <w:rFonts w:ascii="Trebuchet MS" w:hAnsi="Trebuchet MS"/>
                <w:sz w:val="20"/>
                <w:szCs w:val="20"/>
              </w:rPr>
            </w:pPr>
          </w:p>
        </w:tc>
      </w:tr>
    </w:tbl>
    <w:p w14:paraId="10643D94" w14:textId="7F98075D" w:rsidR="00EB0781" w:rsidRPr="00EB0781" w:rsidRDefault="00EB0781" w:rsidP="00EB0781">
      <w:pPr>
        <w:spacing w:line="240" w:lineRule="auto"/>
        <w:rPr>
          <w:sz w:val="24"/>
          <w:szCs w:val="24"/>
        </w:rPr>
      </w:pPr>
    </w:p>
    <w:p w14:paraId="709B2118"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HOUSING AND URBAN AREAS 1: ENHANCE LOCAL COMMUNICATION, EDUCATION, BEHAVIOR CHANGE AND PUBLIC INVOLVEMENT PROGRAMS </w:t>
      </w:r>
    </w:p>
    <w:p w14:paraId="0A5176C1"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72458647" w14:textId="3E21EF2F" w:rsidR="00EB0781" w:rsidRPr="00EB0781" w:rsidRDefault="00EB0781" w:rsidP="00EB0781">
      <w:pPr>
        <w:rPr>
          <w:rFonts w:ascii="Times New Roman" w:hAnsi="Times New Roman" w:cs="Times New Roman"/>
          <w:sz w:val="24"/>
          <w:szCs w:val="24"/>
        </w:rPr>
      </w:pPr>
    </w:p>
    <w:p w14:paraId="703D4C86"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0BB7066A" wp14:editId="077DBC6B">
            <wp:extent cx="8572500" cy="6762750"/>
            <wp:effectExtent l="0" t="0" r="0" b="0"/>
            <wp:docPr id="48" name="Picture 48" descr="C:\Users\stacy.vynne\Documents\Miradi Files\LIO\Final LIO Report Generation\SouthSOundApp\images\RC284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tacy.vynne\Documents\Miradi Files\LIO\Final LIO Report Generation\SouthSOundApp\images\RC28449.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8572500" cy="6762750"/>
                    </a:xfrm>
                    <a:prstGeom prst="rect">
                      <a:avLst/>
                    </a:prstGeom>
                    <a:noFill/>
                    <a:ln>
                      <a:noFill/>
                    </a:ln>
                  </pic:spPr>
                </pic:pic>
              </a:graphicData>
            </a:graphic>
          </wp:inline>
        </w:drawing>
      </w:r>
    </w:p>
    <w:p w14:paraId="7AAD9EE5"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Housing and Urban Areas 1: Enhance Local Communication, Education, Behavior Change and Public Involvement Programs</w:t>
      </w:r>
    </w:p>
    <w:p w14:paraId="71B5BEE2" w14:textId="762A22D3" w:rsidR="00EB0781" w:rsidRPr="00EB0781" w:rsidRDefault="00EB0781" w:rsidP="00EB0781">
      <w:pPr>
        <w:rPr>
          <w:rFonts w:ascii="Times New Roman" w:hAnsi="Times New Roman"/>
          <w:sz w:val="24"/>
          <w:szCs w:val="24"/>
        </w:rPr>
      </w:pPr>
    </w:p>
    <w:p w14:paraId="6468E281"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ENHANCE LOCAL COMMUNICATION, EDUCATION, BEHAVIOR CHANGE AND PUBLIC INVOLVEMENT PROGRAMS ()</w:t>
      </w:r>
    </w:p>
    <w:p w14:paraId="26C65930"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2258569D"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Strategy 27 and 2016 Action Agenda Strategy 28</w:t>
      </w:r>
    </w:p>
    <w:p w14:paraId="31FF8626" w14:textId="77777777" w:rsidR="00EB0781" w:rsidRPr="00EB0781" w:rsidRDefault="00EB0781" w:rsidP="00EB0781">
      <w:pPr>
        <w:rPr>
          <w:rFonts w:ascii="Times New Roman" w:hAnsi="Times New Roman" w:cs="Times New Roman"/>
          <w:sz w:val="24"/>
          <w:szCs w:val="24"/>
        </w:rPr>
      </w:pPr>
      <w:r w:rsidRPr="00EB0781">
        <w:rPr>
          <w:rFonts w:ascii="Arial" w:hAnsi="Arial" w:cs="Arial"/>
          <w:color w:val="000000"/>
          <w:sz w:val="27"/>
          <w:szCs w:val="27"/>
        </w:rPr>
        <w:lastRenderedPageBreak/>
        <w:br/>
      </w:r>
    </w:p>
    <w:p w14:paraId="32CA33BA"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122F2AD5"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207FD927"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68AF310"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B9B83CF"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81C4B41"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6F1958AF"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3BA6D28"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1FA7605"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08E532B" w14:textId="77777777" w:rsidR="00EB0781" w:rsidRPr="00EB0781" w:rsidRDefault="00EB0781" w:rsidP="00EB0781">
            <w:pPr>
              <w:spacing w:line="360" w:lineRule="atLeast"/>
              <w:rPr>
                <w:rFonts w:ascii="Trebuchet MS" w:hAnsi="Trebuchet MS"/>
                <w:sz w:val="20"/>
                <w:szCs w:val="20"/>
              </w:rPr>
            </w:pPr>
          </w:p>
        </w:tc>
      </w:tr>
      <w:tr w:rsidR="00EB0781" w:rsidRPr="00EB0781" w14:paraId="5253C036"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A6C2E06"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32E7DF6"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9A321C9" w14:textId="77777777" w:rsidR="00EB0781" w:rsidRPr="00EB0781" w:rsidRDefault="00EB0781" w:rsidP="00EB0781">
            <w:pPr>
              <w:spacing w:line="360" w:lineRule="atLeast"/>
              <w:rPr>
                <w:rFonts w:ascii="Trebuchet MS" w:hAnsi="Trebuchet MS"/>
                <w:sz w:val="20"/>
                <w:szCs w:val="20"/>
              </w:rPr>
            </w:pPr>
          </w:p>
        </w:tc>
      </w:tr>
      <w:tr w:rsidR="00EB0781" w:rsidRPr="00EB0781" w14:paraId="5E740EFA"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201A730"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477D8E5"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2016-0170 K–12 Field Investigation Program</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4C897CB" w14:textId="77777777" w:rsidR="00EB0781" w:rsidRPr="00EB0781" w:rsidRDefault="00EB0781" w:rsidP="00EB0781">
            <w:pPr>
              <w:spacing w:line="360" w:lineRule="atLeast"/>
              <w:rPr>
                <w:rFonts w:ascii="Trebuchet MS" w:hAnsi="Trebuchet MS"/>
                <w:sz w:val="20"/>
                <w:szCs w:val="20"/>
              </w:rPr>
            </w:pPr>
          </w:p>
        </w:tc>
      </w:tr>
    </w:tbl>
    <w:p w14:paraId="256F6A8F" w14:textId="18791994" w:rsidR="00EB0781" w:rsidRPr="00EB0781" w:rsidRDefault="00EB0781" w:rsidP="00EB0781">
      <w:pPr>
        <w:spacing w:line="240" w:lineRule="auto"/>
        <w:rPr>
          <w:sz w:val="24"/>
          <w:szCs w:val="24"/>
        </w:rPr>
      </w:pPr>
    </w:p>
    <w:p w14:paraId="3E57AC58"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HOUSING AND URBAN AREAS 2: ENHANCE ONGOING IMPLEMENTATION OF LOCAL SHORELINE AND LAND USE MANAGEMENT, PROTECTION, RESTORATION, INCENTIVE PROGRAMS AND PLANS </w:t>
      </w:r>
    </w:p>
    <w:p w14:paraId="447B6EE1"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4E598F72" w14:textId="1115650E" w:rsidR="00EB0781" w:rsidRPr="00EB0781" w:rsidRDefault="00EB0781" w:rsidP="00EB0781">
      <w:pPr>
        <w:rPr>
          <w:rFonts w:ascii="Times New Roman" w:hAnsi="Times New Roman" w:cs="Times New Roman"/>
          <w:sz w:val="24"/>
          <w:szCs w:val="24"/>
        </w:rPr>
      </w:pPr>
    </w:p>
    <w:p w14:paraId="5CE0DCDB"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7DB21947" wp14:editId="3480B2C7">
            <wp:extent cx="8572500" cy="7505700"/>
            <wp:effectExtent l="0" t="0" r="0" b="0"/>
            <wp:docPr id="49" name="Picture 49" descr="C:\Users\stacy.vynne\Documents\Miradi Files\LIO\Final LIO Report Generation\SouthSOundApp\images\RC287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tacy.vynne\Documents\Miradi Files\LIO\Final LIO Report Generation\SouthSOundApp\images\RC28767.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8572500" cy="7505700"/>
                    </a:xfrm>
                    <a:prstGeom prst="rect">
                      <a:avLst/>
                    </a:prstGeom>
                    <a:noFill/>
                    <a:ln>
                      <a:noFill/>
                    </a:ln>
                  </pic:spPr>
                </pic:pic>
              </a:graphicData>
            </a:graphic>
          </wp:inline>
        </w:drawing>
      </w:r>
    </w:p>
    <w:p w14:paraId="3985B299"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Housing and Urban Areas 2: Enhance Ongoing Implementation of Local Shoreline and Land Use Management, Protection, Restoration, Incentive Programs and Plans</w:t>
      </w:r>
    </w:p>
    <w:p w14:paraId="592166C8" w14:textId="2744D588" w:rsidR="00EB0781" w:rsidRPr="00EB0781" w:rsidRDefault="00EB0781" w:rsidP="00EB0781">
      <w:pPr>
        <w:rPr>
          <w:rFonts w:ascii="Times New Roman" w:hAnsi="Times New Roman"/>
          <w:sz w:val="24"/>
          <w:szCs w:val="24"/>
        </w:rPr>
      </w:pPr>
    </w:p>
    <w:p w14:paraId="7170E045"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lastRenderedPageBreak/>
        <w:t>STRATEGY: ENHANCE ONGOING IMPLEMENTATION OF LOCAL SHORELINE AND LAND USE MANAGEMENT, PROTECTION, RESTORATION, INCENTIVE PROGRAMS AND PLANS ()</w:t>
      </w:r>
    </w:p>
    <w:p w14:paraId="12589A33"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6C2055FD"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strategies 2, 3, 5, 16, 17</w:t>
      </w:r>
    </w:p>
    <w:p w14:paraId="2F8FC558" w14:textId="5488FB3A" w:rsidR="00EB0781" w:rsidRPr="00EB0781" w:rsidRDefault="00EB0781" w:rsidP="00EB0781">
      <w:pPr>
        <w:rPr>
          <w:rFonts w:ascii="Times New Roman" w:hAnsi="Times New Roman" w:cs="Times New Roman"/>
          <w:sz w:val="24"/>
          <w:szCs w:val="24"/>
        </w:rPr>
      </w:pPr>
    </w:p>
    <w:p w14:paraId="39929351"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472A55CE"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53852800"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E2A8F56"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1C9A55F"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FD9D9CC"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226C2276"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65C5E05"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08FAD60"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2FB0141" w14:textId="77777777" w:rsidR="00EB0781" w:rsidRPr="00EB0781" w:rsidRDefault="00EB0781" w:rsidP="00EB0781">
            <w:pPr>
              <w:spacing w:line="360" w:lineRule="atLeast"/>
              <w:rPr>
                <w:rFonts w:ascii="Trebuchet MS" w:hAnsi="Trebuchet MS"/>
                <w:sz w:val="20"/>
                <w:szCs w:val="20"/>
              </w:rPr>
            </w:pPr>
          </w:p>
        </w:tc>
      </w:tr>
      <w:tr w:rsidR="00EB0781" w:rsidRPr="00EB0781" w14:paraId="3B626A2B"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972C87C"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381F8B1"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C2E6842" w14:textId="77777777" w:rsidR="00EB0781" w:rsidRPr="00EB0781" w:rsidRDefault="00EB0781" w:rsidP="00EB0781">
            <w:pPr>
              <w:spacing w:line="360" w:lineRule="atLeast"/>
              <w:rPr>
                <w:rFonts w:ascii="Trebuchet MS" w:hAnsi="Trebuchet MS"/>
                <w:sz w:val="20"/>
                <w:szCs w:val="20"/>
              </w:rPr>
            </w:pPr>
          </w:p>
        </w:tc>
      </w:tr>
      <w:tr w:rsidR="00EB0781" w:rsidRPr="00EB0781" w14:paraId="6C64362A"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98FC452"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B6B4952"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DE885DC" w14:textId="77777777" w:rsidR="00EB0781" w:rsidRPr="00EB0781" w:rsidRDefault="00EB0781" w:rsidP="00EB0781">
            <w:pPr>
              <w:spacing w:line="360" w:lineRule="atLeast"/>
              <w:rPr>
                <w:rFonts w:ascii="Trebuchet MS" w:hAnsi="Trebuchet MS"/>
                <w:sz w:val="20"/>
                <w:szCs w:val="20"/>
              </w:rPr>
            </w:pPr>
          </w:p>
        </w:tc>
      </w:tr>
      <w:tr w:rsidR="00EB0781" w:rsidRPr="00EB0781" w14:paraId="0CF1735C"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B7EE304"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DD7F0BD"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03B45CC" w14:textId="77777777" w:rsidR="00EB0781" w:rsidRPr="00EB0781" w:rsidRDefault="00EB0781" w:rsidP="00EB0781">
            <w:pPr>
              <w:spacing w:line="360" w:lineRule="atLeast"/>
              <w:rPr>
                <w:rFonts w:ascii="Trebuchet MS" w:hAnsi="Trebuchet MS"/>
                <w:sz w:val="20"/>
                <w:szCs w:val="20"/>
              </w:rPr>
            </w:pPr>
          </w:p>
        </w:tc>
      </w:tr>
      <w:tr w:rsidR="00EB0781" w:rsidRPr="00EB0781" w14:paraId="6A3566DA"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5E35881"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DC71CAA"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AA36A64" w14:textId="77777777" w:rsidR="00EB0781" w:rsidRPr="00EB0781" w:rsidRDefault="00EB0781" w:rsidP="00EB0781">
            <w:pPr>
              <w:spacing w:line="360" w:lineRule="atLeast"/>
              <w:rPr>
                <w:rFonts w:ascii="Trebuchet MS" w:hAnsi="Trebuchet MS"/>
                <w:sz w:val="20"/>
                <w:szCs w:val="20"/>
              </w:rPr>
            </w:pPr>
          </w:p>
        </w:tc>
      </w:tr>
    </w:tbl>
    <w:p w14:paraId="1DB7A206" w14:textId="77777777" w:rsidR="00EB0781" w:rsidRPr="00EB0781" w:rsidRDefault="00EB0781" w:rsidP="00EB0781">
      <w:pPr>
        <w:spacing w:line="240" w:lineRule="auto"/>
        <w:rPr>
          <w:sz w:val="24"/>
          <w:szCs w:val="24"/>
        </w:rPr>
      </w:pPr>
      <w:r w:rsidRPr="00EB0781">
        <w:rPr>
          <w:rFonts w:ascii="Arial" w:hAnsi="Arial" w:cs="Arial"/>
          <w:color w:val="000000"/>
          <w:sz w:val="27"/>
          <w:szCs w:val="27"/>
        </w:rPr>
        <w:br/>
      </w:r>
    </w:p>
    <w:p w14:paraId="28CF7814"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HOUSING AND URBAN AREAS 3: IMPLEMENT AND EXPAND PROGRAMS TO PROMOTE, CONSERVE, AND EXPAND NATURAL RESOURCE LANDS (AGRICULTURE AND FORESTRY) </w:t>
      </w:r>
    </w:p>
    <w:p w14:paraId="3A3E5E13"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The diagram below illustrates our assumptions about how the strategies and actions included in the results chain are intended to help reduce pressures and achieve our recovery goals.</w:t>
      </w:r>
    </w:p>
    <w:p w14:paraId="05ABCB55" w14:textId="44053ABE" w:rsidR="00EB0781" w:rsidRPr="00EB0781" w:rsidRDefault="00EB0781" w:rsidP="00EB0781">
      <w:pPr>
        <w:rPr>
          <w:rFonts w:ascii="Times New Roman" w:hAnsi="Times New Roman" w:cs="Times New Roman"/>
          <w:sz w:val="24"/>
          <w:szCs w:val="24"/>
        </w:rPr>
      </w:pPr>
    </w:p>
    <w:p w14:paraId="2AA439D9"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48574B0B" wp14:editId="57E6BB2A">
            <wp:extent cx="8572500" cy="6600825"/>
            <wp:effectExtent l="0" t="0" r="0" b="9525"/>
            <wp:docPr id="50" name="Picture 50" descr="C:\Users\stacy.vynne\Documents\Miradi Files\LIO\Final LIO Report Generation\SouthSOundApp\images\RC285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tacy.vynne\Documents\Miradi Files\LIO\Final LIO Report Generation\SouthSOundApp\images\RC28527.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8572500" cy="6600825"/>
                    </a:xfrm>
                    <a:prstGeom prst="rect">
                      <a:avLst/>
                    </a:prstGeom>
                    <a:noFill/>
                    <a:ln>
                      <a:noFill/>
                    </a:ln>
                  </pic:spPr>
                </pic:pic>
              </a:graphicData>
            </a:graphic>
          </wp:inline>
        </w:drawing>
      </w:r>
    </w:p>
    <w:p w14:paraId="794BF59F"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Housing and Urban Areas 3: Implement and expand programs to promote, conserve, and expand natural resource lands (agriculture and forestry)</w:t>
      </w:r>
    </w:p>
    <w:p w14:paraId="721AD303" w14:textId="481A01BB" w:rsidR="00EB0781" w:rsidRPr="00EB0781" w:rsidRDefault="00EB0781" w:rsidP="00EB0781">
      <w:pPr>
        <w:rPr>
          <w:rFonts w:ascii="Times New Roman" w:hAnsi="Times New Roman"/>
          <w:sz w:val="24"/>
          <w:szCs w:val="24"/>
        </w:rPr>
      </w:pPr>
    </w:p>
    <w:p w14:paraId="0A1E1CD8"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IMPLEMENT AND EXPAND PROGRAMS TO PROMOTE, CONSERVE, AND EXPAND NATURAL RESOURCE LANDS (AGRICULTURE AND FORESTRY) ()</w:t>
      </w:r>
    </w:p>
    <w:p w14:paraId="40453C99"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3B3280EA"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substrategy 3</w:t>
      </w:r>
    </w:p>
    <w:p w14:paraId="1B8867DA" w14:textId="5B1F6CF6" w:rsidR="00EB0781" w:rsidRPr="00EB0781" w:rsidRDefault="00EB0781" w:rsidP="00EB0781">
      <w:pPr>
        <w:rPr>
          <w:rFonts w:ascii="Times New Roman" w:hAnsi="Times New Roman" w:cs="Times New Roman"/>
          <w:sz w:val="24"/>
          <w:szCs w:val="24"/>
        </w:rPr>
      </w:pPr>
    </w:p>
    <w:p w14:paraId="5B04DDAD"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64B91AA0"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lastRenderedPageBreak/>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6674C142"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C3F51BB"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42F321A"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1A1C7A4"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182180E0"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826E35C"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6ED06DA"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E2CCF81" w14:textId="77777777" w:rsidR="00EB0781" w:rsidRPr="00EB0781" w:rsidRDefault="00EB0781" w:rsidP="00EB0781">
            <w:pPr>
              <w:spacing w:line="360" w:lineRule="atLeast"/>
              <w:rPr>
                <w:rFonts w:ascii="Trebuchet MS" w:hAnsi="Trebuchet MS"/>
                <w:sz w:val="20"/>
                <w:szCs w:val="20"/>
              </w:rPr>
            </w:pPr>
          </w:p>
        </w:tc>
      </w:tr>
    </w:tbl>
    <w:p w14:paraId="5859D256" w14:textId="498BFFF5" w:rsidR="00EB0781" w:rsidRPr="00EB0781" w:rsidRDefault="00EB0781" w:rsidP="00EB0781">
      <w:pPr>
        <w:spacing w:line="240" w:lineRule="auto"/>
        <w:rPr>
          <w:sz w:val="24"/>
          <w:szCs w:val="24"/>
        </w:rPr>
      </w:pPr>
    </w:p>
    <w:p w14:paraId="08E71998"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HOUSING AND URBAN AREAS 4: IMPLEMENT LOCAL HIGH PRIORITY CAPITAL AND NON-CAPITAL HABITAT PROTECTION AND RESTORATION PROJECTS </w:t>
      </w:r>
    </w:p>
    <w:p w14:paraId="24CD825C"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The diagram below illustrates our assumptions about how the strategies and actions included in the results chain are intended to help reduce pressures and achieve our recovery goals</w:t>
      </w:r>
    </w:p>
    <w:p w14:paraId="7B0EC85A" w14:textId="7D1100B8" w:rsidR="00EB0781" w:rsidRPr="00EB0781" w:rsidRDefault="00EB0781" w:rsidP="00EB0781">
      <w:pPr>
        <w:rPr>
          <w:rFonts w:ascii="Times New Roman" w:hAnsi="Times New Roman" w:cs="Times New Roman"/>
          <w:sz w:val="24"/>
          <w:szCs w:val="24"/>
        </w:rPr>
      </w:pPr>
    </w:p>
    <w:p w14:paraId="01292919"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49A70FC0" wp14:editId="29141C42">
            <wp:extent cx="8572500" cy="6600825"/>
            <wp:effectExtent l="0" t="0" r="0" b="9525"/>
            <wp:docPr id="51" name="Picture 51" descr="C:\Users\stacy.vynne\Documents\Miradi Files\LIO\Final LIO Report Generation\SouthSOundApp\images\RC285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tacy.vynne\Documents\Miradi Files\LIO\Final LIO Report Generation\SouthSOundApp\images\RC28599.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8572500" cy="6600825"/>
                    </a:xfrm>
                    <a:prstGeom prst="rect">
                      <a:avLst/>
                    </a:prstGeom>
                    <a:noFill/>
                    <a:ln>
                      <a:noFill/>
                    </a:ln>
                  </pic:spPr>
                </pic:pic>
              </a:graphicData>
            </a:graphic>
          </wp:inline>
        </w:drawing>
      </w:r>
    </w:p>
    <w:p w14:paraId="231A5610"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Housing and Urban Areas 4: Implement Local High Priority Capital and Non-Capital Habitat Protection and Restoration Projects</w:t>
      </w:r>
    </w:p>
    <w:p w14:paraId="5958A4D7" w14:textId="77777777" w:rsidR="00EB0781" w:rsidRPr="00EB0781" w:rsidRDefault="00EB0781" w:rsidP="00EB0781">
      <w:pPr>
        <w:rPr>
          <w:rFonts w:ascii="Times New Roman" w:hAnsi="Times New Roman" w:cs="Times New Roman"/>
          <w:sz w:val="24"/>
          <w:szCs w:val="24"/>
        </w:rPr>
      </w:pPr>
    </w:p>
    <w:p w14:paraId="38B8A186"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IMPLEMENT LOCAL HIGH PRIORITY CAPITAL AND NON-CAPITAL HABITAT PROTECTION AND RESTORATION PROJECTS ()</w:t>
      </w:r>
    </w:p>
    <w:p w14:paraId="1E196E38"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50A61A55"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Similar to 2016 Action Agenda substrategy 16.1 but is not limited to nearshore and estuaries (includes uplands/terrestrial systems).</w:t>
      </w:r>
    </w:p>
    <w:p w14:paraId="0F4D0D5E" w14:textId="0FEF5FCB" w:rsidR="00EB0781" w:rsidRPr="00EB0781" w:rsidRDefault="00EB0781" w:rsidP="00EB0781">
      <w:pPr>
        <w:rPr>
          <w:rFonts w:ascii="Times New Roman" w:hAnsi="Times New Roman" w:cs="Times New Roman"/>
          <w:sz w:val="24"/>
          <w:szCs w:val="24"/>
        </w:rPr>
      </w:pPr>
    </w:p>
    <w:p w14:paraId="1A068480"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0715E291"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lastRenderedPageBreak/>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380FCBAA"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DA193C3"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AAE9DCB"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47E85B9F"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3E985798"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104F79F"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69C77D0"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BAD335C" w14:textId="77777777" w:rsidR="00EB0781" w:rsidRPr="00EB0781" w:rsidRDefault="00EB0781" w:rsidP="00EB0781">
            <w:pPr>
              <w:spacing w:line="360" w:lineRule="atLeast"/>
              <w:rPr>
                <w:rFonts w:ascii="Trebuchet MS" w:hAnsi="Trebuchet MS"/>
                <w:sz w:val="20"/>
                <w:szCs w:val="20"/>
              </w:rPr>
            </w:pPr>
          </w:p>
        </w:tc>
      </w:tr>
      <w:tr w:rsidR="00EB0781" w:rsidRPr="00EB0781" w14:paraId="4F927E61"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5652FC4"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5E67255"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4BCF1BC" w14:textId="77777777" w:rsidR="00EB0781" w:rsidRPr="00EB0781" w:rsidRDefault="00EB0781" w:rsidP="00EB0781">
            <w:pPr>
              <w:spacing w:line="360" w:lineRule="atLeast"/>
              <w:rPr>
                <w:rFonts w:ascii="Trebuchet MS" w:hAnsi="Trebuchet MS"/>
                <w:sz w:val="20"/>
                <w:szCs w:val="20"/>
              </w:rPr>
            </w:pPr>
          </w:p>
        </w:tc>
      </w:tr>
      <w:tr w:rsidR="00EB0781" w:rsidRPr="00EB0781" w14:paraId="22087A10"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2073B36"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A7756A4"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F43AB1E" w14:textId="77777777" w:rsidR="00EB0781" w:rsidRPr="00EB0781" w:rsidRDefault="00EB0781" w:rsidP="00EB0781">
            <w:pPr>
              <w:spacing w:line="360" w:lineRule="atLeast"/>
              <w:rPr>
                <w:rFonts w:ascii="Trebuchet MS" w:hAnsi="Trebuchet MS"/>
                <w:sz w:val="20"/>
                <w:szCs w:val="20"/>
              </w:rPr>
            </w:pPr>
          </w:p>
        </w:tc>
      </w:tr>
      <w:tr w:rsidR="00EB0781" w:rsidRPr="00EB0781" w14:paraId="2D052F70"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A3F7B53"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06AEBE1"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2016-0173 Nisqually Community Forest Acquisition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0E7F095" w14:textId="77777777" w:rsidR="00EB0781" w:rsidRPr="00EB0781" w:rsidRDefault="00EB0781" w:rsidP="00EB0781">
            <w:pPr>
              <w:spacing w:line="360" w:lineRule="atLeast"/>
              <w:rPr>
                <w:rFonts w:ascii="Trebuchet MS" w:hAnsi="Trebuchet MS"/>
                <w:sz w:val="20"/>
                <w:szCs w:val="20"/>
              </w:rPr>
            </w:pPr>
          </w:p>
        </w:tc>
      </w:tr>
      <w:tr w:rsidR="00EB0781" w:rsidRPr="00EB0781" w14:paraId="715A5E05"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AF9B514"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8A48E7E"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2016-0094 Henderson Inlet Habitat Protection and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BFB4386" w14:textId="77777777" w:rsidR="00EB0781" w:rsidRPr="00EB0781" w:rsidRDefault="00EB0781" w:rsidP="00EB0781">
            <w:pPr>
              <w:spacing w:line="360" w:lineRule="atLeast"/>
              <w:rPr>
                <w:rFonts w:ascii="Trebuchet MS" w:hAnsi="Trebuchet MS"/>
                <w:sz w:val="20"/>
                <w:szCs w:val="20"/>
              </w:rPr>
            </w:pPr>
          </w:p>
        </w:tc>
      </w:tr>
      <w:tr w:rsidR="00EB0781" w:rsidRPr="00EB0781" w14:paraId="5471B73D"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2D5C6DA"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E3A555D"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2016-0092 Titlow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EE9A528" w14:textId="77777777" w:rsidR="00EB0781" w:rsidRPr="00EB0781" w:rsidRDefault="00EB0781" w:rsidP="00EB0781">
            <w:pPr>
              <w:spacing w:line="360" w:lineRule="atLeast"/>
              <w:rPr>
                <w:rFonts w:ascii="Trebuchet MS" w:hAnsi="Trebuchet MS"/>
                <w:sz w:val="20"/>
                <w:szCs w:val="20"/>
              </w:rPr>
            </w:pPr>
          </w:p>
        </w:tc>
      </w:tr>
      <w:tr w:rsidR="00EB0781" w:rsidRPr="00EB0781" w14:paraId="5893571C"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98F727B"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F27B1EB"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2016-1158 South Prairie Creek (River Miles 4.0 to 4.6) Floodplain Project Phase 1</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0E19163" w14:textId="77777777" w:rsidR="00EB0781" w:rsidRPr="00EB0781" w:rsidRDefault="00EB0781" w:rsidP="00EB0781">
            <w:pPr>
              <w:spacing w:line="360" w:lineRule="atLeast"/>
              <w:rPr>
                <w:rFonts w:ascii="Trebuchet MS" w:hAnsi="Trebuchet MS"/>
                <w:sz w:val="20"/>
                <w:szCs w:val="20"/>
              </w:rPr>
            </w:pPr>
          </w:p>
        </w:tc>
      </w:tr>
    </w:tbl>
    <w:p w14:paraId="2781A657" w14:textId="2A5FAE08" w:rsidR="00EB0781" w:rsidRPr="00EB0781" w:rsidRDefault="00EB0781" w:rsidP="00EB0781">
      <w:pPr>
        <w:spacing w:line="240" w:lineRule="auto"/>
        <w:rPr>
          <w:sz w:val="24"/>
          <w:szCs w:val="24"/>
        </w:rPr>
      </w:pPr>
    </w:p>
    <w:p w14:paraId="33D710ED"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HOUSING AND URBAN AREAS 5: IMPLEMENT LOCAL WATER RESOURCE MANAGEMENT PROGRAMS AND RULES </w:t>
      </w:r>
    </w:p>
    <w:p w14:paraId="5CB12C36"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13FA04D6" w14:textId="0C545418" w:rsidR="00EB0781" w:rsidRPr="00EB0781" w:rsidRDefault="00EB0781" w:rsidP="00EB0781">
      <w:pPr>
        <w:rPr>
          <w:rFonts w:ascii="Times New Roman" w:hAnsi="Times New Roman" w:cs="Times New Roman"/>
          <w:sz w:val="24"/>
          <w:szCs w:val="24"/>
        </w:rPr>
      </w:pPr>
    </w:p>
    <w:p w14:paraId="79984AD3"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038CCBD9" wp14:editId="4B74FC54">
            <wp:extent cx="8572500" cy="6515100"/>
            <wp:effectExtent l="0" t="0" r="0" b="0"/>
            <wp:docPr id="52" name="Picture 52" descr="C:\Users\stacy.vynne\Documents\Miradi Files\LIO\Final LIO Report Generation\SouthSOundApp\images\RC286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tacy.vynne\Documents\Miradi Files\LIO\Final LIO Report Generation\SouthSOundApp\images\RC2867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572500" cy="6515100"/>
                    </a:xfrm>
                    <a:prstGeom prst="rect">
                      <a:avLst/>
                    </a:prstGeom>
                    <a:noFill/>
                    <a:ln>
                      <a:noFill/>
                    </a:ln>
                  </pic:spPr>
                </pic:pic>
              </a:graphicData>
            </a:graphic>
          </wp:inline>
        </w:drawing>
      </w:r>
    </w:p>
    <w:p w14:paraId="627B6C9F"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Housing and Urban Areas 5: Implement Local Water Resource Management Programs and Rules</w:t>
      </w:r>
    </w:p>
    <w:p w14:paraId="34030639" w14:textId="72C9013B" w:rsidR="00EB0781" w:rsidRPr="00EB0781" w:rsidRDefault="00EB0781" w:rsidP="00EB0781">
      <w:pPr>
        <w:rPr>
          <w:rFonts w:ascii="Times New Roman" w:hAnsi="Times New Roman"/>
          <w:sz w:val="24"/>
          <w:szCs w:val="24"/>
        </w:rPr>
      </w:pPr>
    </w:p>
    <w:p w14:paraId="73129936"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IMPLEMENT LOCAL WATER RESOURCE MANAGEMENT PROGRAMS AND RULES ()</w:t>
      </w:r>
    </w:p>
    <w:p w14:paraId="2B8CAB06"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4E89C924"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Similar to 2016 Action Agenda substrategy 7.3</w:t>
      </w:r>
    </w:p>
    <w:p w14:paraId="16F63A41" w14:textId="6B4F1C20" w:rsidR="00EB0781" w:rsidRPr="00EB0781" w:rsidRDefault="00EB0781" w:rsidP="00EB0781">
      <w:pPr>
        <w:rPr>
          <w:rFonts w:ascii="Times New Roman" w:hAnsi="Times New Roman" w:cs="Times New Roman"/>
          <w:sz w:val="24"/>
          <w:szCs w:val="24"/>
        </w:rPr>
      </w:pPr>
    </w:p>
    <w:p w14:paraId="7F2590B9"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5F2E037D"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lastRenderedPageBreak/>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1902"/>
        <w:gridCol w:w="1365"/>
      </w:tblGrid>
      <w:tr w:rsidR="00EB0781" w:rsidRPr="00EB0781" w14:paraId="08B0DD47"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348BD0A"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888C7F5"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526BB2A2"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bl>
    <w:p w14:paraId="042599E7" w14:textId="42BCADFF" w:rsidR="00EB0781" w:rsidRPr="00EB0781" w:rsidRDefault="00EB0781" w:rsidP="00EB0781">
      <w:pPr>
        <w:spacing w:line="240" w:lineRule="auto"/>
        <w:rPr>
          <w:rFonts w:ascii="Times New Roman" w:hAnsi="Times New Roman"/>
          <w:sz w:val="24"/>
          <w:szCs w:val="24"/>
        </w:rPr>
      </w:pPr>
    </w:p>
    <w:p w14:paraId="318DF3BB"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MARINE LEVEES, FLOODGATES, TIDEGATES 1: ENHANCE LOCAL COMMUNICATION, EDUCATION, BEHAVIOR CHANGE AND PUBLIC INVOLVEMENT PROGRAMS </w:t>
      </w:r>
    </w:p>
    <w:p w14:paraId="2DCC2B58"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The diagram below illustrates our assumptions about how the strategies and actions included in the results chain are intended to help reduce pressures and achieve our recovery goals.</w:t>
      </w:r>
    </w:p>
    <w:p w14:paraId="0CA7A3B7" w14:textId="166192E4" w:rsidR="00EB0781" w:rsidRPr="00EB0781" w:rsidRDefault="00EB0781" w:rsidP="00EB0781">
      <w:pPr>
        <w:rPr>
          <w:rFonts w:ascii="Times New Roman" w:hAnsi="Times New Roman" w:cs="Times New Roman"/>
          <w:sz w:val="24"/>
          <w:szCs w:val="24"/>
        </w:rPr>
      </w:pPr>
    </w:p>
    <w:p w14:paraId="164067AB"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drawing>
          <wp:inline distT="0" distB="0" distL="0" distR="0" wp14:anchorId="6200FAB4" wp14:editId="5A9EC393">
            <wp:extent cx="8572500" cy="2600325"/>
            <wp:effectExtent l="0" t="0" r="0" b="9525"/>
            <wp:docPr id="53" name="Picture 53" descr="C:\Users\stacy.vynne\Documents\Miradi Files\LIO\Final LIO Report Generation\SouthSOundApp\images\RC281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stacy.vynne\Documents\Miradi Files\LIO\Final LIO Report Generation\SouthSOundApp\images\RC2812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8572500" cy="2600325"/>
                    </a:xfrm>
                    <a:prstGeom prst="rect">
                      <a:avLst/>
                    </a:prstGeom>
                    <a:noFill/>
                    <a:ln>
                      <a:noFill/>
                    </a:ln>
                  </pic:spPr>
                </pic:pic>
              </a:graphicData>
            </a:graphic>
          </wp:inline>
        </w:drawing>
      </w:r>
    </w:p>
    <w:p w14:paraId="3FD5C9D6"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Marine Levees, Floodgates, Tidegates 1: Enhance Local Communication, Education, Behavior Change and Public Involvement Programs</w:t>
      </w:r>
    </w:p>
    <w:p w14:paraId="07ACF1DC" w14:textId="70B6F199" w:rsidR="00EB0781" w:rsidRPr="00EB0781" w:rsidRDefault="00EB0781" w:rsidP="00EB0781">
      <w:pPr>
        <w:rPr>
          <w:rFonts w:ascii="Times New Roman" w:hAnsi="Times New Roman"/>
          <w:sz w:val="24"/>
          <w:szCs w:val="24"/>
        </w:rPr>
      </w:pPr>
    </w:p>
    <w:p w14:paraId="10C7339B" w14:textId="77777777" w:rsidR="00EB0781" w:rsidRPr="00EB0781" w:rsidRDefault="00EB0781" w:rsidP="00EB0781">
      <w:pPr>
        <w:rPr>
          <w:rFonts w:ascii="Times New Roman" w:hAnsi="Times New Roman" w:cs="Times New Roman"/>
          <w:sz w:val="24"/>
          <w:szCs w:val="24"/>
        </w:rPr>
      </w:pPr>
    </w:p>
    <w:p w14:paraId="45137B01"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ENHANCE LOCAL COMMUNICATION, EDUCATION, BEHAVIOR CHANGE AND PUBLIC INVOLVEMENT PROGRAMS ()</w:t>
      </w:r>
    </w:p>
    <w:p w14:paraId="1762A9F6"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3F1EF89E"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Strategy 27 and 2016 Action Agenda Strategy 28</w:t>
      </w:r>
    </w:p>
    <w:p w14:paraId="22348C5C" w14:textId="22EA0216" w:rsidR="00EB0781" w:rsidRPr="00EB0781" w:rsidRDefault="00EB0781" w:rsidP="00EB0781">
      <w:pPr>
        <w:rPr>
          <w:rFonts w:ascii="Times New Roman" w:hAnsi="Times New Roman" w:cs="Times New Roman"/>
          <w:sz w:val="24"/>
          <w:szCs w:val="24"/>
        </w:rPr>
      </w:pPr>
    </w:p>
    <w:p w14:paraId="54F9596C"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7CE86051"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729EDE39"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9C40CB1"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127D982"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0D05022"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139FD25E"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3C0218C"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CD3E6FB"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850ECF9" w14:textId="77777777" w:rsidR="00EB0781" w:rsidRPr="00EB0781" w:rsidRDefault="00EB0781" w:rsidP="00EB0781">
            <w:pPr>
              <w:spacing w:line="360" w:lineRule="atLeast"/>
              <w:rPr>
                <w:rFonts w:ascii="Trebuchet MS" w:hAnsi="Trebuchet MS"/>
                <w:sz w:val="20"/>
                <w:szCs w:val="20"/>
              </w:rPr>
            </w:pPr>
          </w:p>
        </w:tc>
      </w:tr>
    </w:tbl>
    <w:p w14:paraId="755625AE" w14:textId="72881259" w:rsidR="00EB0781" w:rsidRPr="00EB0781" w:rsidRDefault="00EB0781" w:rsidP="00EB0781">
      <w:pPr>
        <w:spacing w:line="240" w:lineRule="auto"/>
        <w:rPr>
          <w:sz w:val="24"/>
          <w:szCs w:val="24"/>
        </w:rPr>
      </w:pPr>
    </w:p>
    <w:p w14:paraId="04F073A2"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MARINE LEVEES, FLOODGATES, TIDEGATES 2: ENHANCE ONGOING IMPLEMENTATION OF LOCAL SHORELINE AND LAND USE MANAGEMENT, PROTECTION, RESTORATION, INCENTIVE PROGRAMS AND PLANS </w:t>
      </w:r>
    </w:p>
    <w:p w14:paraId="1790C53A"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27EAFE77" w14:textId="0F4AB3FF" w:rsidR="00EB0781" w:rsidRPr="00EB0781" w:rsidRDefault="00EB0781" w:rsidP="00EB0781">
      <w:pPr>
        <w:rPr>
          <w:rFonts w:ascii="Times New Roman" w:hAnsi="Times New Roman" w:cs="Times New Roman"/>
          <w:sz w:val="24"/>
          <w:szCs w:val="24"/>
        </w:rPr>
      </w:pPr>
    </w:p>
    <w:p w14:paraId="7D30DE23"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drawing>
          <wp:inline distT="0" distB="0" distL="0" distR="0" wp14:anchorId="17C1C5BB" wp14:editId="7FCB5CEA">
            <wp:extent cx="8572500" cy="3390900"/>
            <wp:effectExtent l="0" t="0" r="0" b="0"/>
            <wp:docPr id="54" name="Picture 54" descr="C:\Users\stacy.vynne\Documents\Miradi Files\LIO\Final LIO Report Generation\SouthSOundApp\images\RC282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stacy.vynne\Documents\Miradi Files\LIO\Final LIO Report Generation\SouthSOundApp\images\RC28225.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8572500" cy="3390900"/>
                    </a:xfrm>
                    <a:prstGeom prst="rect">
                      <a:avLst/>
                    </a:prstGeom>
                    <a:noFill/>
                    <a:ln>
                      <a:noFill/>
                    </a:ln>
                  </pic:spPr>
                </pic:pic>
              </a:graphicData>
            </a:graphic>
          </wp:inline>
        </w:drawing>
      </w:r>
    </w:p>
    <w:p w14:paraId="56C6ECC9"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Marine Levees, Floodgates, Tidegates 2: Enhance Ongoing Implementation of Local Shoreline and Land Use Management, Protection, Restoration, Incentive Programs and Plans</w:t>
      </w:r>
    </w:p>
    <w:p w14:paraId="2876AF77" w14:textId="0ED95BE1" w:rsidR="00EB0781" w:rsidRPr="00EB0781" w:rsidRDefault="00EB0781" w:rsidP="00EB0781">
      <w:pPr>
        <w:rPr>
          <w:rFonts w:ascii="Times New Roman" w:hAnsi="Times New Roman"/>
          <w:sz w:val="24"/>
          <w:szCs w:val="24"/>
        </w:rPr>
      </w:pPr>
    </w:p>
    <w:p w14:paraId="6C3636E7" w14:textId="77777777" w:rsidR="00EB0781" w:rsidRPr="00EB0781" w:rsidRDefault="00EB0781" w:rsidP="00EB0781">
      <w:pPr>
        <w:rPr>
          <w:rFonts w:ascii="Times New Roman" w:hAnsi="Times New Roman" w:cs="Times New Roman"/>
          <w:sz w:val="24"/>
          <w:szCs w:val="24"/>
        </w:rPr>
      </w:pPr>
    </w:p>
    <w:p w14:paraId="76E5317A"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ENHANCE ONGOING IMPLEMENTATION OF LOCAL SHORELINE AND LAND USE MANAGEMENT, PROTECTION, RESTORATION, INCENTIVE PROGRAMS AND PLANS ()</w:t>
      </w:r>
    </w:p>
    <w:p w14:paraId="51A8155F"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3848C7B0"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strategies 2, 3, 5, 16, 17</w:t>
      </w:r>
    </w:p>
    <w:p w14:paraId="5B216D2C" w14:textId="162A1BB2" w:rsidR="00EB0781" w:rsidRPr="00EB0781" w:rsidRDefault="00EB0781" w:rsidP="00EB0781">
      <w:pPr>
        <w:rPr>
          <w:rFonts w:ascii="Times New Roman" w:hAnsi="Times New Roman" w:cs="Times New Roman"/>
          <w:sz w:val="24"/>
          <w:szCs w:val="24"/>
        </w:rPr>
      </w:pPr>
    </w:p>
    <w:p w14:paraId="2C6620B4"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65016C8F"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6AD55607"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2AE9B9F"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lastRenderedPageBreak/>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F94C4ED"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953B1B6"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5C4766CE"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5522C41"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C7867B3"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22EE658" w14:textId="77777777" w:rsidR="00EB0781" w:rsidRPr="00EB0781" w:rsidRDefault="00EB0781" w:rsidP="00EB0781">
            <w:pPr>
              <w:spacing w:line="360" w:lineRule="atLeast"/>
              <w:rPr>
                <w:rFonts w:ascii="Trebuchet MS" w:hAnsi="Trebuchet MS"/>
                <w:sz w:val="20"/>
                <w:szCs w:val="20"/>
              </w:rPr>
            </w:pPr>
          </w:p>
        </w:tc>
      </w:tr>
      <w:tr w:rsidR="00EB0781" w:rsidRPr="00EB0781" w14:paraId="5DC650CE"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A3FC674"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BAD23E9"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C477E54" w14:textId="77777777" w:rsidR="00EB0781" w:rsidRPr="00EB0781" w:rsidRDefault="00EB0781" w:rsidP="00EB0781">
            <w:pPr>
              <w:spacing w:line="360" w:lineRule="atLeast"/>
              <w:rPr>
                <w:rFonts w:ascii="Trebuchet MS" w:hAnsi="Trebuchet MS"/>
                <w:sz w:val="20"/>
                <w:szCs w:val="20"/>
              </w:rPr>
            </w:pPr>
          </w:p>
        </w:tc>
      </w:tr>
      <w:tr w:rsidR="00EB0781" w:rsidRPr="00EB0781" w14:paraId="13AE4540"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C16C515"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0936CBA"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2BEFAF5" w14:textId="77777777" w:rsidR="00EB0781" w:rsidRPr="00EB0781" w:rsidRDefault="00EB0781" w:rsidP="00EB0781">
            <w:pPr>
              <w:spacing w:line="360" w:lineRule="atLeast"/>
              <w:rPr>
                <w:rFonts w:ascii="Trebuchet MS" w:hAnsi="Trebuchet MS"/>
                <w:sz w:val="20"/>
                <w:szCs w:val="20"/>
              </w:rPr>
            </w:pPr>
          </w:p>
        </w:tc>
      </w:tr>
      <w:tr w:rsidR="00EB0781" w:rsidRPr="00EB0781" w14:paraId="284B9A4A"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FA35D3A"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93C3DA8"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71629B9" w14:textId="77777777" w:rsidR="00EB0781" w:rsidRPr="00EB0781" w:rsidRDefault="00EB0781" w:rsidP="00EB0781">
            <w:pPr>
              <w:spacing w:line="360" w:lineRule="atLeast"/>
              <w:rPr>
                <w:rFonts w:ascii="Trebuchet MS" w:hAnsi="Trebuchet MS"/>
                <w:sz w:val="20"/>
                <w:szCs w:val="20"/>
              </w:rPr>
            </w:pPr>
          </w:p>
        </w:tc>
      </w:tr>
      <w:tr w:rsidR="00EB0781" w:rsidRPr="00EB0781" w14:paraId="5FE45BDE"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76ADAED"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95DB254"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A8F20A5" w14:textId="77777777" w:rsidR="00EB0781" w:rsidRPr="00EB0781" w:rsidRDefault="00EB0781" w:rsidP="00EB0781">
            <w:pPr>
              <w:spacing w:line="360" w:lineRule="atLeast"/>
              <w:rPr>
                <w:rFonts w:ascii="Trebuchet MS" w:hAnsi="Trebuchet MS"/>
                <w:sz w:val="20"/>
                <w:szCs w:val="20"/>
              </w:rPr>
            </w:pPr>
          </w:p>
        </w:tc>
      </w:tr>
    </w:tbl>
    <w:p w14:paraId="56A52C4A" w14:textId="61F5C060" w:rsidR="00EB0781" w:rsidRPr="00EB0781" w:rsidRDefault="00EB0781" w:rsidP="00EB0781">
      <w:pPr>
        <w:spacing w:line="240" w:lineRule="auto"/>
        <w:rPr>
          <w:sz w:val="24"/>
          <w:szCs w:val="24"/>
        </w:rPr>
      </w:pPr>
    </w:p>
    <w:p w14:paraId="19A0E827"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MARINE LEVEES, FLOODGATES, TIDEGATES 3: IMPLEMENT LOCAL HIGH PRIORITY CAPITAL AND NON-CAPITAL HABITAT PROTECTION AND RESTORATION PROJECTS </w:t>
      </w:r>
    </w:p>
    <w:p w14:paraId="4CF6EEC4"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3832C3CC" w14:textId="5B464F9C" w:rsidR="00EB0781" w:rsidRPr="00EB0781" w:rsidRDefault="00EB0781" w:rsidP="00EB0781">
      <w:pPr>
        <w:rPr>
          <w:rFonts w:ascii="Times New Roman" w:hAnsi="Times New Roman" w:cs="Times New Roman"/>
          <w:sz w:val="24"/>
          <w:szCs w:val="24"/>
        </w:rPr>
      </w:pPr>
    </w:p>
    <w:p w14:paraId="0E8E46D9"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37B86FE0" wp14:editId="39A8A962">
            <wp:extent cx="8572500" cy="3810000"/>
            <wp:effectExtent l="0" t="0" r="0" b="0"/>
            <wp:docPr id="55" name="Picture 55" descr="C:\Users\stacy.vynne\Documents\Miradi Files\LIO\Final LIO Report Generation\SouthSOundApp\images\RC283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stacy.vynne\Documents\Miradi Files\LIO\Final LIO Report Generation\SouthSOundApp\images\RC28339.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8572500" cy="3810000"/>
                    </a:xfrm>
                    <a:prstGeom prst="rect">
                      <a:avLst/>
                    </a:prstGeom>
                    <a:noFill/>
                    <a:ln>
                      <a:noFill/>
                    </a:ln>
                  </pic:spPr>
                </pic:pic>
              </a:graphicData>
            </a:graphic>
          </wp:inline>
        </w:drawing>
      </w:r>
    </w:p>
    <w:p w14:paraId="0340AF3A"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Marine Levees, Floodgates, Tidegates 3: Implement Local High Priority Capital and Non-Capital Habitat Protection and Restoration Projects</w:t>
      </w:r>
    </w:p>
    <w:p w14:paraId="638F06FB" w14:textId="38A39C43" w:rsidR="00EB0781" w:rsidRPr="00EB0781" w:rsidRDefault="00EB0781" w:rsidP="00EB0781">
      <w:pPr>
        <w:rPr>
          <w:rFonts w:ascii="Times New Roman" w:hAnsi="Times New Roman"/>
          <w:sz w:val="24"/>
          <w:szCs w:val="24"/>
        </w:rPr>
      </w:pPr>
    </w:p>
    <w:p w14:paraId="010BACE6"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IMPLEMENT LOCAL HIGH PRIORITY CAPITAL AND NON-CAPITAL HABITAT PROTECTION AND RESTORATION PROJECTS ()</w:t>
      </w:r>
    </w:p>
    <w:p w14:paraId="37F49247"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3C9C7367"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Similar to 2016 Action Agenda substrategy 16.1 but is not limited to nearshore and estuaries (includes uplands/terrestrial systems).</w:t>
      </w:r>
    </w:p>
    <w:p w14:paraId="590411E7" w14:textId="3ED28083" w:rsidR="00EB0781" w:rsidRPr="00EB0781" w:rsidRDefault="00EB0781" w:rsidP="00EB0781">
      <w:pPr>
        <w:rPr>
          <w:rFonts w:ascii="Times New Roman" w:hAnsi="Times New Roman" w:cs="Times New Roman"/>
          <w:sz w:val="24"/>
          <w:szCs w:val="24"/>
        </w:rPr>
      </w:pPr>
    </w:p>
    <w:p w14:paraId="0C2FC2CF"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1F51244B"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4880C217"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6EA015B"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5A42A4B2"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49B53A0C"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6E56420A"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EA2BD22"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43E6D7D"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9FB075D" w14:textId="77777777" w:rsidR="00EB0781" w:rsidRPr="00EB0781" w:rsidRDefault="00EB0781" w:rsidP="00EB0781">
            <w:pPr>
              <w:spacing w:line="360" w:lineRule="atLeast"/>
              <w:rPr>
                <w:rFonts w:ascii="Trebuchet MS" w:hAnsi="Trebuchet MS"/>
                <w:sz w:val="20"/>
                <w:szCs w:val="20"/>
              </w:rPr>
            </w:pPr>
          </w:p>
        </w:tc>
      </w:tr>
      <w:tr w:rsidR="00EB0781" w:rsidRPr="00EB0781" w14:paraId="459AD577"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E306FDE"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34089C4"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DF1F040" w14:textId="77777777" w:rsidR="00EB0781" w:rsidRPr="00EB0781" w:rsidRDefault="00EB0781" w:rsidP="00EB0781">
            <w:pPr>
              <w:spacing w:line="360" w:lineRule="atLeast"/>
              <w:rPr>
                <w:rFonts w:ascii="Trebuchet MS" w:hAnsi="Trebuchet MS"/>
                <w:sz w:val="20"/>
                <w:szCs w:val="20"/>
              </w:rPr>
            </w:pPr>
          </w:p>
        </w:tc>
      </w:tr>
      <w:tr w:rsidR="00EB0781" w:rsidRPr="00EB0781" w14:paraId="2086C2D0"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FFC06C7"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29CE43F"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7ED2A91" w14:textId="77777777" w:rsidR="00EB0781" w:rsidRPr="00EB0781" w:rsidRDefault="00EB0781" w:rsidP="00EB0781">
            <w:pPr>
              <w:spacing w:line="360" w:lineRule="atLeast"/>
              <w:rPr>
                <w:rFonts w:ascii="Trebuchet MS" w:hAnsi="Trebuchet MS"/>
                <w:sz w:val="20"/>
                <w:szCs w:val="20"/>
              </w:rPr>
            </w:pPr>
          </w:p>
        </w:tc>
      </w:tr>
      <w:tr w:rsidR="00EB0781" w:rsidRPr="00EB0781" w14:paraId="12010A29"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CEC59A3"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237A545"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2016-0173 Nisqually Community Forest Acquisition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BCC2700" w14:textId="77777777" w:rsidR="00EB0781" w:rsidRPr="00EB0781" w:rsidRDefault="00EB0781" w:rsidP="00EB0781">
            <w:pPr>
              <w:spacing w:line="360" w:lineRule="atLeast"/>
              <w:rPr>
                <w:rFonts w:ascii="Trebuchet MS" w:hAnsi="Trebuchet MS"/>
                <w:sz w:val="20"/>
                <w:szCs w:val="20"/>
              </w:rPr>
            </w:pPr>
          </w:p>
        </w:tc>
      </w:tr>
      <w:tr w:rsidR="00EB0781" w:rsidRPr="00EB0781" w14:paraId="47B01ED4"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CEF94BF"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E2A32AA"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2016-0094 Henderson Inlet Habitat Protection and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3E65DFA" w14:textId="77777777" w:rsidR="00EB0781" w:rsidRPr="00EB0781" w:rsidRDefault="00EB0781" w:rsidP="00EB0781">
            <w:pPr>
              <w:spacing w:line="360" w:lineRule="atLeast"/>
              <w:rPr>
                <w:rFonts w:ascii="Trebuchet MS" w:hAnsi="Trebuchet MS"/>
                <w:sz w:val="20"/>
                <w:szCs w:val="20"/>
              </w:rPr>
            </w:pPr>
          </w:p>
        </w:tc>
      </w:tr>
      <w:tr w:rsidR="00EB0781" w:rsidRPr="00EB0781" w14:paraId="2C664D22"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A9B9124"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D1C0205"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2016-0092 Titlow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68661E4" w14:textId="77777777" w:rsidR="00EB0781" w:rsidRPr="00EB0781" w:rsidRDefault="00EB0781" w:rsidP="00EB0781">
            <w:pPr>
              <w:spacing w:line="360" w:lineRule="atLeast"/>
              <w:rPr>
                <w:rFonts w:ascii="Trebuchet MS" w:hAnsi="Trebuchet MS"/>
                <w:sz w:val="20"/>
                <w:szCs w:val="20"/>
              </w:rPr>
            </w:pPr>
          </w:p>
        </w:tc>
      </w:tr>
      <w:tr w:rsidR="00EB0781" w:rsidRPr="00EB0781" w14:paraId="0D422F94"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BA9DB01"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E43A468"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2016-1158 South Prairie Creek (River Miles 4.0 to 4.6) Floodplain Project Phase 1</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4070B1D" w14:textId="77777777" w:rsidR="00EB0781" w:rsidRPr="00EB0781" w:rsidRDefault="00EB0781" w:rsidP="00EB0781">
            <w:pPr>
              <w:spacing w:line="360" w:lineRule="atLeast"/>
              <w:rPr>
                <w:rFonts w:ascii="Trebuchet MS" w:hAnsi="Trebuchet MS"/>
                <w:sz w:val="20"/>
                <w:szCs w:val="20"/>
              </w:rPr>
            </w:pPr>
          </w:p>
        </w:tc>
      </w:tr>
    </w:tbl>
    <w:p w14:paraId="3F2804A7" w14:textId="56F505E9" w:rsidR="00EB0781" w:rsidRPr="00EB0781" w:rsidRDefault="00EB0781" w:rsidP="00EB0781">
      <w:pPr>
        <w:spacing w:line="240" w:lineRule="auto"/>
        <w:rPr>
          <w:sz w:val="24"/>
          <w:szCs w:val="24"/>
        </w:rPr>
      </w:pPr>
    </w:p>
    <w:p w14:paraId="7D4743DF"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MARINE SHORELINE INFRASTRUCTURE 1: ENHANCE LOCAL COMPLIANCE AND ENFORCEMENT PROGRAMS </w:t>
      </w:r>
    </w:p>
    <w:p w14:paraId="3203AD9C"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52280D37" w14:textId="72641784" w:rsidR="00EB0781" w:rsidRPr="00EB0781" w:rsidRDefault="00EB0781" w:rsidP="00EB0781">
      <w:pPr>
        <w:rPr>
          <w:rFonts w:ascii="Times New Roman" w:hAnsi="Times New Roman" w:cs="Times New Roman"/>
          <w:sz w:val="24"/>
          <w:szCs w:val="24"/>
        </w:rPr>
      </w:pPr>
    </w:p>
    <w:p w14:paraId="658FE520"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drawing>
          <wp:inline distT="0" distB="0" distL="0" distR="0" wp14:anchorId="1676F99C" wp14:editId="6D528373">
            <wp:extent cx="8572500" cy="3429000"/>
            <wp:effectExtent l="0" t="0" r="0" b="0"/>
            <wp:docPr id="56" name="Picture 56" descr="C:\Users\stacy.vynne\Documents\Miradi Files\LIO\Final LIO Report Generation\SouthSOundApp\images\RC278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stacy.vynne\Documents\Miradi Files\LIO\Final LIO Report Generation\SouthSOundApp\images\RC27843.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8572500" cy="3429000"/>
                    </a:xfrm>
                    <a:prstGeom prst="rect">
                      <a:avLst/>
                    </a:prstGeom>
                    <a:noFill/>
                    <a:ln>
                      <a:noFill/>
                    </a:ln>
                  </pic:spPr>
                </pic:pic>
              </a:graphicData>
            </a:graphic>
          </wp:inline>
        </w:drawing>
      </w:r>
    </w:p>
    <w:p w14:paraId="5C55D6EA"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Marine Shoreline Infrastructure 1: Enhance Local Compliance and Enforcement Programs</w:t>
      </w:r>
    </w:p>
    <w:p w14:paraId="1F464525"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ENHANCE LOCAL COMPLIANCE AND ENFORCEMENT PROGRAMS ()</w:t>
      </w:r>
    </w:p>
    <w:p w14:paraId="65D75310"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lastRenderedPageBreak/>
        <w:t>Details</w:t>
      </w:r>
    </w:p>
    <w:p w14:paraId="109A769D"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substrategy 9.6</w:t>
      </w:r>
    </w:p>
    <w:p w14:paraId="10C52ACC" w14:textId="2328D49F" w:rsidR="00EB0781" w:rsidRPr="00EB0781" w:rsidRDefault="00EB0781" w:rsidP="00EB0781">
      <w:pPr>
        <w:rPr>
          <w:rFonts w:ascii="Times New Roman" w:hAnsi="Times New Roman" w:cs="Times New Roman"/>
          <w:sz w:val="24"/>
          <w:szCs w:val="24"/>
        </w:rPr>
      </w:pPr>
    </w:p>
    <w:p w14:paraId="77078BB4"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7787700C"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1902"/>
        <w:gridCol w:w="1365"/>
      </w:tblGrid>
      <w:tr w:rsidR="00EB0781" w:rsidRPr="00EB0781" w14:paraId="5465BCD2"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1E27FB6"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94A2CA2"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D9EE936"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bl>
    <w:p w14:paraId="5E099609" w14:textId="52523F6D" w:rsidR="00EB0781" w:rsidRPr="00EB0781" w:rsidRDefault="00EB0781" w:rsidP="00EB0781">
      <w:pPr>
        <w:spacing w:line="240" w:lineRule="auto"/>
        <w:rPr>
          <w:rFonts w:ascii="Times New Roman" w:hAnsi="Times New Roman"/>
          <w:sz w:val="24"/>
          <w:szCs w:val="24"/>
        </w:rPr>
      </w:pPr>
    </w:p>
    <w:p w14:paraId="30CDB7A1"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MARINE SHORELINE INFRASTRUCTURE 2: ENHANCE ONGOING IMPLEMENTATION OF LOCAL SHORELINE AND LAND USE MANAGEMENT, PROTECTION, RESTORATION, INCENTIVE PROGRAMS AND PLANS </w:t>
      </w:r>
    </w:p>
    <w:p w14:paraId="5F0A6597"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2CE84459" w14:textId="6D7367F6" w:rsidR="00EB0781" w:rsidRPr="00EB0781" w:rsidRDefault="00EB0781" w:rsidP="00EB0781">
      <w:pPr>
        <w:rPr>
          <w:rFonts w:ascii="Times New Roman" w:hAnsi="Times New Roman" w:cs="Times New Roman"/>
          <w:sz w:val="24"/>
          <w:szCs w:val="24"/>
        </w:rPr>
      </w:pPr>
    </w:p>
    <w:p w14:paraId="6592D2C9"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drawing>
          <wp:inline distT="0" distB="0" distL="0" distR="0" wp14:anchorId="1189D24F" wp14:editId="6F55DA2B">
            <wp:extent cx="8572500" cy="4305300"/>
            <wp:effectExtent l="0" t="0" r="0" b="0"/>
            <wp:docPr id="57" name="Picture 57" descr="C:\Users\stacy.vynne\Documents\Miradi Files\LIO\Final LIO Report Generation\SouthSOundApp\images\RC2756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stacy.vynne\Documents\Miradi Files\LIO\Final LIO Report Generation\SouthSOundApp\images\RC27565.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8572500" cy="4305300"/>
                    </a:xfrm>
                    <a:prstGeom prst="rect">
                      <a:avLst/>
                    </a:prstGeom>
                    <a:noFill/>
                    <a:ln>
                      <a:noFill/>
                    </a:ln>
                  </pic:spPr>
                </pic:pic>
              </a:graphicData>
            </a:graphic>
          </wp:inline>
        </w:drawing>
      </w:r>
    </w:p>
    <w:p w14:paraId="4CAD5BA9"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Marine Shoreline Infrastructure 2: Enhance Ongoing Implementation of Local Shoreline and Land Use Management, Protection, Restoration, Incentive Programs and Plans</w:t>
      </w:r>
    </w:p>
    <w:p w14:paraId="31A238CA" w14:textId="620CF4E1" w:rsidR="00EB0781" w:rsidRPr="00EB0781" w:rsidRDefault="00EB0781" w:rsidP="00EB0781"/>
    <w:p w14:paraId="3769616B" w14:textId="43D618DE" w:rsidR="00EB0781" w:rsidRPr="00EB0781" w:rsidRDefault="00EB0781" w:rsidP="00EB0781">
      <w:pPr>
        <w:rPr>
          <w:rFonts w:ascii="Times New Roman" w:hAnsi="Times New Roman" w:cs="Times New Roman"/>
          <w:sz w:val="24"/>
          <w:szCs w:val="24"/>
        </w:rPr>
      </w:pPr>
    </w:p>
    <w:p w14:paraId="60CB1D03"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lastRenderedPageBreak/>
        <w:t>STRATEGY: ENHANCE ONGOING IMPLEMENTATION OF LOCAL SHORELINE AND LAND USE MANAGEMENT, PROTECTION, RESTORATION, INCENTIVE PROGRAMS AND PLANS ()</w:t>
      </w:r>
    </w:p>
    <w:p w14:paraId="6B24DF71"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009CECB6"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strategies 2, 3, 5, 16, 17</w:t>
      </w:r>
    </w:p>
    <w:p w14:paraId="1F31C2EF" w14:textId="3938F27F" w:rsidR="00EB0781" w:rsidRPr="00EB0781" w:rsidRDefault="00EB0781" w:rsidP="00EB0781">
      <w:pPr>
        <w:rPr>
          <w:rFonts w:ascii="Times New Roman" w:hAnsi="Times New Roman" w:cs="Times New Roman"/>
          <w:sz w:val="24"/>
          <w:szCs w:val="24"/>
        </w:rPr>
      </w:pPr>
    </w:p>
    <w:p w14:paraId="531002DF"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284B0542"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62B62AD3"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11587D8"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20965A1"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D8C8425"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14959D2B"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195C104"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91A5A31"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302FC4B" w14:textId="77777777" w:rsidR="00EB0781" w:rsidRPr="00EB0781" w:rsidRDefault="00EB0781" w:rsidP="00EB0781">
            <w:pPr>
              <w:spacing w:line="360" w:lineRule="atLeast"/>
              <w:rPr>
                <w:rFonts w:ascii="Trebuchet MS" w:hAnsi="Trebuchet MS"/>
                <w:sz w:val="20"/>
                <w:szCs w:val="20"/>
              </w:rPr>
            </w:pPr>
          </w:p>
        </w:tc>
      </w:tr>
      <w:tr w:rsidR="00EB0781" w:rsidRPr="00EB0781" w14:paraId="1539D783"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ABB3EE1"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C6829CA"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317DB04" w14:textId="77777777" w:rsidR="00EB0781" w:rsidRPr="00EB0781" w:rsidRDefault="00EB0781" w:rsidP="00EB0781">
            <w:pPr>
              <w:spacing w:line="360" w:lineRule="atLeast"/>
              <w:rPr>
                <w:rFonts w:ascii="Trebuchet MS" w:hAnsi="Trebuchet MS"/>
                <w:sz w:val="20"/>
                <w:szCs w:val="20"/>
              </w:rPr>
            </w:pPr>
          </w:p>
        </w:tc>
      </w:tr>
      <w:tr w:rsidR="00EB0781" w:rsidRPr="00EB0781" w14:paraId="79BBFB3B"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70D72C3"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9F88932"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EB3FB4A" w14:textId="77777777" w:rsidR="00EB0781" w:rsidRPr="00EB0781" w:rsidRDefault="00EB0781" w:rsidP="00EB0781">
            <w:pPr>
              <w:spacing w:line="360" w:lineRule="atLeast"/>
              <w:rPr>
                <w:rFonts w:ascii="Trebuchet MS" w:hAnsi="Trebuchet MS"/>
                <w:sz w:val="20"/>
                <w:szCs w:val="20"/>
              </w:rPr>
            </w:pPr>
          </w:p>
        </w:tc>
      </w:tr>
      <w:tr w:rsidR="00EB0781" w:rsidRPr="00EB0781" w14:paraId="319A58ED"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BA1ECDC"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E089973"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AF3AF56" w14:textId="77777777" w:rsidR="00EB0781" w:rsidRPr="00EB0781" w:rsidRDefault="00EB0781" w:rsidP="00EB0781">
            <w:pPr>
              <w:spacing w:line="360" w:lineRule="atLeast"/>
              <w:rPr>
                <w:rFonts w:ascii="Trebuchet MS" w:hAnsi="Trebuchet MS"/>
                <w:sz w:val="20"/>
                <w:szCs w:val="20"/>
              </w:rPr>
            </w:pPr>
          </w:p>
        </w:tc>
      </w:tr>
      <w:tr w:rsidR="00EB0781" w:rsidRPr="00EB0781" w14:paraId="48CB6862"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952380B"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23CBD76"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F3D2BEF" w14:textId="77777777" w:rsidR="00EB0781" w:rsidRPr="00EB0781" w:rsidRDefault="00EB0781" w:rsidP="00EB0781">
            <w:pPr>
              <w:spacing w:line="360" w:lineRule="atLeast"/>
              <w:rPr>
                <w:rFonts w:ascii="Trebuchet MS" w:hAnsi="Trebuchet MS"/>
                <w:sz w:val="20"/>
                <w:szCs w:val="20"/>
              </w:rPr>
            </w:pPr>
          </w:p>
        </w:tc>
      </w:tr>
    </w:tbl>
    <w:p w14:paraId="3E705B68" w14:textId="7DADD27E" w:rsidR="00EB0781" w:rsidRPr="00EB0781" w:rsidRDefault="00EB0781" w:rsidP="00EB0781">
      <w:pPr>
        <w:spacing w:line="240" w:lineRule="auto"/>
        <w:rPr>
          <w:sz w:val="24"/>
          <w:szCs w:val="24"/>
        </w:rPr>
      </w:pPr>
    </w:p>
    <w:p w14:paraId="776F7C85"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MARINE SHORELINE INFRASTRUCTURE 3: ENHANCE ONGOING IMPLEMENTATION OF LOCAL SHORELINE AND LAND USE MANAGEMENT, PROTECTION, RESTORATION, INCENTIVE PROGRAMS AND PLANS </w:t>
      </w:r>
    </w:p>
    <w:p w14:paraId="0B08EF0F"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70C7C5EC" w14:textId="06F0486F" w:rsidR="00EB0781" w:rsidRPr="00EB0781" w:rsidRDefault="00EB0781" w:rsidP="00EB0781">
      <w:pPr>
        <w:rPr>
          <w:rFonts w:ascii="Times New Roman" w:hAnsi="Times New Roman" w:cs="Times New Roman"/>
          <w:sz w:val="24"/>
          <w:szCs w:val="24"/>
        </w:rPr>
      </w:pPr>
    </w:p>
    <w:p w14:paraId="3B00E6C5"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4B9F89AC" wp14:editId="4271749C">
            <wp:extent cx="8572500" cy="4305300"/>
            <wp:effectExtent l="0" t="0" r="0" b="0"/>
            <wp:docPr id="58" name="Picture 58" descr="C:\Users\stacy.vynne\Documents\Miradi Files\LIO\Final LIO Report Generation\SouthSOundApp\images\RC279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stacy.vynne\Documents\Miradi Files\LIO\Final LIO Report Generation\SouthSOundApp\images\RC27971.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8572500" cy="4305300"/>
                    </a:xfrm>
                    <a:prstGeom prst="rect">
                      <a:avLst/>
                    </a:prstGeom>
                    <a:noFill/>
                    <a:ln>
                      <a:noFill/>
                    </a:ln>
                  </pic:spPr>
                </pic:pic>
              </a:graphicData>
            </a:graphic>
          </wp:inline>
        </w:drawing>
      </w:r>
    </w:p>
    <w:p w14:paraId="2CA1ED1B"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Marine Shoreline Infrastructure 3: Enhance Ongoing Implementation of Local Shoreline and Land Use Management, Protection, Restoration, Incentive Programs and Plans</w:t>
      </w:r>
    </w:p>
    <w:p w14:paraId="5CBC13F7" w14:textId="77777777" w:rsidR="00EB0781" w:rsidRPr="00EB0781" w:rsidRDefault="00EB0781" w:rsidP="00EB0781">
      <w:pPr>
        <w:rPr>
          <w:rFonts w:ascii="Times New Roman" w:hAnsi="Times New Roman" w:cs="Times New Roman"/>
          <w:sz w:val="24"/>
          <w:szCs w:val="24"/>
        </w:rPr>
      </w:pPr>
    </w:p>
    <w:p w14:paraId="3656DDD2"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ENHANCE ONGOING IMPLEMENTATION OF LOCAL SHORELINE AND LAND USE MANAGEMENT, PROTECTION, RESTORATION, INCENTIVE PROGRAMS AND PLANS ()</w:t>
      </w:r>
    </w:p>
    <w:p w14:paraId="3D889B21"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3CB412A9"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strategies 2, 3, 5, 16, 17</w:t>
      </w:r>
    </w:p>
    <w:p w14:paraId="633CB6C8" w14:textId="4AC949FB" w:rsidR="00EB0781" w:rsidRPr="00EB0781" w:rsidRDefault="00EB0781" w:rsidP="00EB0781">
      <w:pPr>
        <w:rPr>
          <w:rFonts w:ascii="Times New Roman" w:hAnsi="Times New Roman" w:cs="Times New Roman"/>
          <w:sz w:val="24"/>
          <w:szCs w:val="24"/>
        </w:rPr>
      </w:pPr>
    </w:p>
    <w:p w14:paraId="2B3D0B3F"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5FE53BA3"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51540C0C"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82DCE8D"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059FE79"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7841630"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3F4A9364"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05F15AF"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ACF8E92"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79D797E" w14:textId="77777777" w:rsidR="00EB0781" w:rsidRPr="00EB0781" w:rsidRDefault="00EB0781" w:rsidP="00EB0781">
            <w:pPr>
              <w:spacing w:line="360" w:lineRule="atLeast"/>
              <w:rPr>
                <w:rFonts w:ascii="Trebuchet MS" w:hAnsi="Trebuchet MS"/>
                <w:sz w:val="20"/>
                <w:szCs w:val="20"/>
              </w:rPr>
            </w:pPr>
          </w:p>
        </w:tc>
      </w:tr>
      <w:tr w:rsidR="00EB0781" w:rsidRPr="00EB0781" w14:paraId="5A758FF7"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B053B25"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2BACFCA"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3C22796" w14:textId="77777777" w:rsidR="00EB0781" w:rsidRPr="00EB0781" w:rsidRDefault="00EB0781" w:rsidP="00EB0781">
            <w:pPr>
              <w:spacing w:line="360" w:lineRule="atLeast"/>
              <w:rPr>
                <w:rFonts w:ascii="Trebuchet MS" w:hAnsi="Trebuchet MS"/>
                <w:sz w:val="20"/>
                <w:szCs w:val="20"/>
              </w:rPr>
            </w:pPr>
          </w:p>
        </w:tc>
      </w:tr>
      <w:tr w:rsidR="00EB0781" w:rsidRPr="00EB0781" w14:paraId="01A12801"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B20EBD7"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90493A2"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FA0A9DB" w14:textId="77777777" w:rsidR="00EB0781" w:rsidRPr="00EB0781" w:rsidRDefault="00EB0781" w:rsidP="00EB0781">
            <w:pPr>
              <w:spacing w:line="360" w:lineRule="atLeast"/>
              <w:rPr>
                <w:rFonts w:ascii="Trebuchet MS" w:hAnsi="Trebuchet MS"/>
                <w:sz w:val="20"/>
                <w:szCs w:val="20"/>
              </w:rPr>
            </w:pPr>
          </w:p>
        </w:tc>
      </w:tr>
      <w:tr w:rsidR="00EB0781" w:rsidRPr="00EB0781" w14:paraId="426699DF"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E886224"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129C642"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AA7CCBF" w14:textId="77777777" w:rsidR="00EB0781" w:rsidRPr="00EB0781" w:rsidRDefault="00EB0781" w:rsidP="00EB0781">
            <w:pPr>
              <w:spacing w:line="360" w:lineRule="atLeast"/>
              <w:rPr>
                <w:rFonts w:ascii="Trebuchet MS" w:hAnsi="Trebuchet MS"/>
                <w:sz w:val="20"/>
                <w:szCs w:val="20"/>
              </w:rPr>
            </w:pPr>
          </w:p>
        </w:tc>
      </w:tr>
      <w:tr w:rsidR="00EB0781" w:rsidRPr="00EB0781" w14:paraId="6B5581CC"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529DBB9"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1DF2EA2"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A0CE261" w14:textId="77777777" w:rsidR="00EB0781" w:rsidRPr="00EB0781" w:rsidRDefault="00EB0781" w:rsidP="00EB0781">
            <w:pPr>
              <w:spacing w:line="360" w:lineRule="atLeast"/>
              <w:rPr>
                <w:rFonts w:ascii="Trebuchet MS" w:hAnsi="Trebuchet MS"/>
                <w:sz w:val="20"/>
                <w:szCs w:val="20"/>
              </w:rPr>
            </w:pPr>
          </w:p>
        </w:tc>
      </w:tr>
    </w:tbl>
    <w:p w14:paraId="4A6151CA" w14:textId="5DB70BC5" w:rsidR="00EB0781" w:rsidRPr="00EB0781" w:rsidRDefault="00EB0781" w:rsidP="00EB0781">
      <w:pPr>
        <w:spacing w:line="240" w:lineRule="auto"/>
        <w:rPr>
          <w:sz w:val="24"/>
          <w:szCs w:val="24"/>
        </w:rPr>
      </w:pPr>
    </w:p>
    <w:p w14:paraId="128B94C4"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MARINE SHORELINE INFRASTRUCTURE 4: IMPLEMENT LOCAL HIGH PRIORITY CAPITAL AND NON-CAPITAL HABITAT PROTECTION AND RESTORATION PROJECTS </w:t>
      </w:r>
    </w:p>
    <w:p w14:paraId="0FD6E9A4"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42CDE22A" w14:textId="76D35262" w:rsidR="00EB0781" w:rsidRPr="00EB0781" w:rsidRDefault="00EB0781" w:rsidP="00EB0781">
      <w:pPr>
        <w:rPr>
          <w:rFonts w:ascii="Times New Roman" w:hAnsi="Times New Roman" w:cs="Times New Roman"/>
          <w:sz w:val="24"/>
          <w:szCs w:val="24"/>
        </w:rPr>
      </w:pPr>
    </w:p>
    <w:p w14:paraId="6F6A37D4"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drawing>
          <wp:inline distT="0" distB="0" distL="0" distR="0" wp14:anchorId="15935872" wp14:editId="50B4C3BD">
            <wp:extent cx="8572500" cy="4200525"/>
            <wp:effectExtent l="0" t="0" r="0" b="9525"/>
            <wp:docPr id="59" name="Picture 59" descr="C:\Users\stacy.vynne\Documents\Miradi Files\LIO\Final LIO Report Generation\SouthSOundApp\images\RC277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stacy.vynne\Documents\Miradi Files\LIO\Final LIO Report Generation\SouthSOundApp\images\RC27715.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8572500" cy="4200525"/>
                    </a:xfrm>
                    <a:prstGeom prst="rect">
                      <a:avLst/>
                    </a:prstGeom>
                    <a:noFill/>
                    <a:ln>
                      <a:noFill/>
                    </a:ln>
                  </pic:spPr>
                </pic:pic>
              </a:graphicData>
            </a:graphic>
          </wp:inline>
        </w:drawing>
      </w:r>
    </w:p>
    <w:p w14:paraId="58ECA04C"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Marine Shoreline Infrastructure 4: Implement Local High Priority Capital and Non-Capital Habitat Protection and Restoration Projects</w:t>
      </w:r>
    </w:p>
    <w:p w14:paraId="723F7B4A" w14:textId="77777777" w:rsidR="00EB0781" w:rsidRPr="00EB0781" w:rsidRDefault="00EB0781" w:rsidP="00EB0781">
      <w:pPr>
        <w:rPr>
          <w:rFonts w:ascii="Times New Roman" w:hAnsi="Times New Roman" w:cs="Times New Roman"/>
          <w:sz w:val="24"/>
          <w:szCs w:val="24"/>
        </w:rPr>
      </w:pPr>
    </w:p>
    <w:p w14:paraId="0869B036"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IMPLEMENT LOCAL HIGH PRIORITY CAPITAL AND NON-CAPITAL HABITAT PROTECTION AND RESTORATION PROJECTS ()</w:t>
      </w:r>
    </w:p>
    <w:p w14:paraId="5999B180"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783B69F1"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Similar to 2016 Action Agenda substrategy 16.1 but is not limited to nearshore and estuaries (includes uplands/terrestrial systems).</w:t>
      </w:r>
    </w:p>
    <w:p w14:paraId="1A5C38B7" w14:textId="652AC4E7" w:rsidR="00EB0781" w:rsidRPr="00EB0781" w:rsidRDefault="00EB0781" w:rsidP="00EB0781">
      <w:pPr>
        <w:rPr>
          <w:rFonts w:ascii="Times New Roman" w:hAnsi="Times New Roman" w:cs="Times New Roman"/>
          <w:sz w:val="24"/>
          <w:szCs w:val="24"/>
        </w:rPr>
      </w:pPr>
    </w:p>
    <w:p w14:paraId="5EF88930"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7FB3E5ED"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79277531"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388C017"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03E0A19"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7162F76"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7382B4BF"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9C7C2E5"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F8CD32F"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2016-0174 Deschutes River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88EA5FD" w14:textId="77777777" w:rsidR="00EB0781" w:rsidRPr="00EB0781" w:rsidRDefault="00EB0781" w:rsidP="00EB0781">
            <w:pPr>
              <w:spacing w:line="360" w:lineRule="atLeast"/>
              <w:rPr>
                <w:rFonts w:ascii="Trebuchet MS" w:hAnsi="Trebuchet MS"/>
                <w:sz w:val="20"/>
                <w:szCs w:val="20"/>
              </w:rPr>
            </w:pPr>
          </w:p>
        </w:tc>
      </w:tr>
      <w:tr w:rsidR="00EB0781" w:rsidRPr="00EB0781" w14:paraId="5952D319"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85CFB6B"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22637C7"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2016-0240 Huge Creek Culvert Replacement</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F36832B" w14:textId="77777777" w:rsidR="00EB0781" w:rsidRPr="00EB0781" w:rsidRDefault="00EB0781" w:rsidP="00EB0781">
            <w:pPr>
              <w:spacing w:line="360" w:lineRule="atLeast"/>
              <w:rPr>
                <w:rFonts w:ascii="Trebuchet MS" w:hAnsi="Trebuchet MS"/>
                <w:sz w:val="20"/>
                <w:szCs w:val="20"/>
              </w:rPr>
            </w:pPr>
          </w:p>
        </w:tc>
      </w:tr>
      <w:tr w:rsidR="00EB0781" w:rsidRPr="00EB0781" w14:paraId="31103464"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979550D"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EC0ADF0"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2016-1245 Chambers Creek Dam Acquisition and Design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0DD9E56" w14:textId="77777777" w:rsidR="00EB0781" w:rsidRPr="00EB0781" w:rsidRDefault="00EB0781" w:rsidP="00EB0781">
            <w:pPr>
              <w:spacing w:line="360" w:lineRule="atLeast"/>
              <w:rPr>
                <w:rFonts w:ascii="Trebuchet MS" w:hAnsi="Trebuchet MS"/>
                <w:sz w:val="20"/>
                <w:szCs w:val="20"/>
              </w:rPr>
            </w:pPr>
          </w:p>
        </w:tc>
      </w:tr>
      <w:tr w:rsidR="00EB0781" w:rsidRPr="00EB0781" w14:paraId="0CE0BC15"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5B6B06D"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C9B261B"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2016-0173 Nisqually Community Forest Acquisition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711B1D9" w14:textId="77777777" w:rsidR="00EB0781" w:rsidRPr="00EB0781" w:rsidRDefault="00EB0781" w:rsidP="00EB0781">
            <w:pPr>
              <w:spacing w:line="360" w:lineRule="atLeast"/>
              <w:rPr>
                <w:rFonts w:ascii="Trebuchet MS" w:hAnsi="Trebuchet MS"/>
                <w:sz w:val="20"/>
                <w:szCs w:val="20"/>
              </w:rPr>
            </w:pPr>
          </w:p>
        </w:tc>
      </w:tr>
      <w:tr w:rsidR="00EB0781" w:rsidRPr="00EB0781" w14:paraId="1FEAE7EF"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49C3AD6"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889E8FB"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2016-0094 Henderson Inlet Habitat Protection and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DBB925D" w14:textId="77777777" w:rsidR="00EB0781" w:rsidRPr="00EB0781" w:rsidRDefault="00EB0781" w:rsidP="00EB0781">
            <w:pPr>
              <w:spacing w:line="360" w:lineRule="atLeast"/>
              <w:rPr>
                <w:rFonts w:ascii="Trebuchet MS" w:hAnsi="Trebuchet MS"/>
                <w:sz w:val="20"/>
                <w:szCs w:val="20"/>
              </w:rPr>
            </w:pPr>
          </w:p>
        </w:tc>
      </w:tr>
      <w:tr w:rsidR="00EB0781" w:rsidRPr="00EB0781" w14:paraId="790D11B9"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1D06FE7"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461AD9D"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2016-0092 Titlow Estuary Restoration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24E1875" w14:textId="77777777" w:rsidR="00EB0781" w:rsidRPr="00EB0781" w:rsidRDefault="00EB0781" w:rsidP="00EB0781">
            <w:pPr>
              <w:spacing w:line="360" w:lineRule="atLeast"/>
              <w:rPr>
                <w:rFonts w:ascii="Trebuchet MS" w:hAnsi="Trebuchet MS"/>
                <w:sz w:val="20"/>
                <w:szCs w:val="20"/>
              </w:rPr>
            </w:pPr>
          </w:p>
        </w:tc>
      </w:tr>
      <w:tr w:rsidR="00EB0781" w:rsidRPr="00EB0781" w14:paraId="64A5E2FF"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56DE284"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397A29D"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2016-1158 South Prairie Creek (River Miles 4.0 to 4.6) Floodplain Project Phase 1</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B4657DF" w14:textId="77777777" w:rsidR="00EB0781" w:rsidRPr="00EB0781" w:rsidRDefault="00EB0781" w:rsidP="00EB0781">
            <w:pPr>
              <w:spacing w:line="360" w:lineRule="atLeast"/>
              <w:rPr>
                <w:rFonts w:ascii="Trebuchet MS" w:hAnsi="Trebuchet MS"/>
                <w:sz w:val="20"/>
                <w:szCs w:val="20"/>
              </w:rPr>
            </w:pPr>
          </w:p>
        </w:tc>
      </w:tr>
    </w:tbl>
    <w:p w14:paraId="4B023A6F" w14:textId="47632668" w:rsidR="00EB0781" w:rsidRPr="00EB0781" w:rsidRDefault="00EB0781" w:rsidP="00EB0781">
      <w:pPr>
        <w:spacing w:line="240" w:lineRule="auto"/>
        <w:rPr>
          <w:sz w:val="24"/>
          <w:szCs w:val="24"/>
        </w:rPr>
      </w:pPr>
    </w:p>
    <w:p w14:paraId="2F88A072"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OSS 1: COLLECT AND TREAT URBAN STORMWATER TO REDUCE POLLUTANT LOADING </w:t>
      </w:r>
    </w:p>
    <w:p w14:paraId="27801360" w14:textId="77777777" w:rsidR="00EB0781" w:rsidRPr="00EB0781" w:rsidRDefault="00EB0781" w:rsidP="00EB0781">
      <w:pPr>
        <w:spacing w:after="150" w:line="240" w:lineRule="auto"/>
        <w:rPr>
          <w:rFonts w:ascii="Times New Roman" w:eastAsia="Times New Roman" w:hAnsi="Times New Roman" w:cs="Times New Roman"/>
          <w:color w:val="003A5D"/>
          <w:sz w:val="24"/>
          <w:szCs w:val="24"/>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77741B2B"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41C5F796" wp14:editId="62B80BBC">
            <wp:extent cx="8572500" cy="3019425"/>
            <wp:effectExtent l="0" t="0" r="0" b="9525"/>
            <wp:docPr id="60" name="Picture 60" descr="C:\Users\stacy.vynne\Documents\Miradi Files\LIO\Final LIO Report Generation\SouthSOundApp\images\RC2749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stacy.vynne\Documents\Miradi Files\LIO\Final LIO Report Generation\SouthSOundApp\images\RC27493.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572500" cy="3019425"/>
                    </a:xfrm>
                    <a:prstGeom prst="rect">
                      <a:avLst/>
                    </a:prstGeom>
                    <a:noFill/>
                    <a:ln>
                      <a:noFill/>
                    </a:ln>
                  </pic:spPr>
                </pic:pic>
              </a:graphicData>
            </a:graphic>
          </wp:inline>
        </w:drawing>
      </w:r>
    </w:p>
    <w:p w14:paraId="3C4343E5"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OSS 1: Collect and treat urban stormwater to reduce pollutant loading</w:t>
      </w:r>
    </w:p>
    <w:p w14:paraId="73322F0E" w14:textId="0DBBDFDC" w:rsidR="00EB0781" w:rsidRPr="00EB0781" w:rsidRDefault="00EB0781" w:rsidP="00EB0781">
      <w:pPr>
        <w:rPr>
          <w:rFonts w:ascii="Times New Roman" w:hAnsi="Times New Roman" w:cs="Times New Roman"/>
          <w:sz w:val="24"/>
          <w:szCs w:val="24"/>
        </w:rPr>
      </w:pPr>
    </w:p>
    <w:p w14:paraId="6744302F"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COLLECT AND TREAT URBAN STORMWATER TO REDUCE POLLUTANT LOADING ()</w:t>
      </w:r>
    </w:p>
    <w:p w14:paraId="3DF95DE8"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2294572A"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strategy 10</w:t>
      </w:r>
    </w:p>
    <w:p w14:paraId="2FE09D7B" w14:textId="1EBD9777" w:rsidR="00EB0781" w:rsidRPr="00EB0781" w:rsidRDefault="00EB0781" w:rsidP="00EB0781">
      <w:pPr>
        <w:rPr>
          <w:rFonts w:ascii="Times New Roman" w:hAnsi="Times New Roman" w:cs="Times New Roman"/>
          <w:sz w:val="24"/>
          <w:szCs w:val="24"/>
        </w:rPr>
      </w:pPr>
    </w:p>
    <w:p w14:paraId="57064C80"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27B1BC05"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0E645355"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886C668"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57685A3"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EF1695F"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08A37F76"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9DD940F"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485D56D"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2016-0010 Water Quality Focused Street Sweeping Program</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D595F23" w14:textId="77777777" w:rsidR="00EB0781" w:rsidRPr="00EB0781" w:rsidRDefault="00EB0781" w:rsidP="00EB0781">
            <w:pPr>
              <w:spacing w:line="360" w:lineRule="atLeast"/>
              <w:rPr>
                <w:rFonts w:ascii="Trebuchet MS" w:hAnsi="Trebuchet MS"/>
                <w:sz w:val="20"/>
                <w:szCs w:val="20"/>
              </w:rPr>
            </w:pPr>
          </w:p>
        </w:tc>
      </w:tr>
    </w:tbl>
    <w:p w14:paraId="035D78C2" w14:textId="45321432" w:rsidR="00EB0781" w:rsidRPr="00EB0781" w:rsidRDefault="00EB0781" w:rsidP="00EB0781">
      <w:pPr>
        <w:spacing w:line="240" w:lineRule="auto"/>
        <w:rPr>
          <w:sz w:val="24"/>
          <w:szCs w:val="24"/>
        </w:rPr>
      </w:pPr>
    </w:p>
    <w:p w14:paraId="33EE685E"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OSS 2: CONCENTRATE GROWTH IN URBAN GROWTH AREAS TO LIMIT THE AMOUNT OF NEW IMPERVIOUS SURFACES CREATED </w:t>
      </w:r>
    </w:p>
    <w:p w14:paraId="5C26B956"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54A0F441" w14:textId="4F37FDED" w:rsidR="00EB0781" w:rsidRPr="00EB0781" w:rsidRDefault="00EB0781" w:rsidP="00EB0781">
      <w:pPr>
        <w:rPr>
          <w:rFonts w:ascii="Times New Roman" w:hAnsi="Times New Roman" w:cs="Times New Roman"/>
          <w:sz w:val="24"/>
          <w:szCs w:val="24"/>
        </w:rPr>
      </w:pPr>
    </w:p>
    <w:p w14:paraId="3DC73D8D"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49A707C2" wp14:editId="27E17CDD">
            <wp:extent cx="8572500" cy="2314575"/>
            <wp:effectExtent l="0" t="0" r="0" b="9525"/>
            <wp:docPr id="61" name="Picture 61" descr="C:\Users\stacy.vynne\Documents\Miradi Files\LIO\Final LIO Report Generation\SouthSOundApp\images\RC273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stacy.vynne\Documents\Miradi Files\LIO\Final LIO Report Generation\SouthSOundApp\images\RC27325.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8572500" cy="2314575"/>
                    </a:xfrm>
                    <a:prstGeom prst="rect">
                      <a:avLst/>
                    </a:prstGeom>
                    <a:noFill/>
                    <a:ln>
                      <a:noFill/>
                    </a:ln>
                  </pic:spPr>
                </pic:pic>
              </a:graphicData>
            </a:graphic>
          </wp:inline>
        </w:drawing>
      </w:r>
    </w:p>
    <w:p w14:paraId="1F911F32"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OSS 2: Concentrate growth in urban growth areas to limit the amount of new impervious surfaces created</w:t>
      </w:r>
    </w:p>
    <w:p w14:paraId="1D6673E5" w14:textId="77777777" w:rsidR="00EB0781" w:rsidRPr="00EB0781" w:rsidRDefault="00EB0781" w:rsidP="00EB0781">
      <w:r w:rsidRPr="00EB0781">
        <w:rPr>
          <w:rFonts w:ascii="Arial" w:hAnsi="Arial" w:cs="Arial"/>
          <w:color w:val="000000"/>
          <w:sz w:val="27"/>
          <w:szCs w:val="27"/>
        </w:rPr>
        <w:br/>
      </w:r>
      <w:r w:rsidRPr="00EB0781">
        <w:rPr>
          <w:caps/>
        </w:rPr>
        <w:t>STRATEGY: CONCENTRATE GROWTH IN URBAN GROWTH AREAS TO LIMIT THE AMOUNT OF NEW IMPERVIOUS SURFACES CREATED ()</w:t>
      </w:r>
    </w:p>
    <w:p w14:paraId="7E78CA8A"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7AFF12BB"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Similar to 2016 Action Agenda strategy 4</w:t>
      </w:r>
    </w:p>
    <w:p w14:paraId="267E80DA" w14:textId="6D6CF682" w:rsidR="00EB0781" w:rsidRPr="00EB0781" w:rsidRDefault="00EB0781" w:rsidP="00EB0781">
      <w:pPr>
        <w:rPr>
          <w:rFonts w:ascii="Times New Roman" w:hAnsi="Times New Roman" w:cs="Times New Roman"/>
          <w:sz w:val="24"/>
          <w:szCs w:val="24"/>
        </w:rPr>
      </w:pPr>
    </w:p>
    <w:p w14:paraId="5E21FAD8"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58A10D87"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3D57AF10"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590E4D0"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2A6C134"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24E9FDD"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4A16816A"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7E3C11E"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774809B"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2016-0179 Thurston County Urban Septic to Sewer Conversion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3B767295" w14:textId="77777777" w:rsidR="00EB0781" w:rsidRPr="00EB0781" w:rsidRDefault="00EB0781" w:rsidP="00EB0781">
            <w:pPr>
              <w:spacing w:line="360" w:lineRule="atLeast"/>
              <w:rPr>
                <w:rFonts w:ascii="Trebuchet MS" w:hAnsi="Trebuchet MS"/>
                <w:sz w:val="20"/>
                <w:szCs w:val="20"/>
              </w:rPr>
            </w:pPr>
          </w:p>
        </w:tc>
      </w:tr>
    </w:tbl>
    <w:p w14:paraId="5C6F9DB1" w14:textId="77777777" w:rsidR="00EB0781" w:rsidRPr="00EB0781" w:rsidRDefault="00EB0781" w:rsidP="00EB0781">
      <w:pPr>
        <w:spacing w:line="240" w:lineRule="auto"/>
        <w:rPr>
          <w:sz w:val="24"/>
          <w:szCs w:val="24"/>
        </w:rPr>
      </w:pPr>
      <w:r w:rsidRPr="00EB0781">
        <w:rPr>
          <w:rFonts w:ascii="Arial" w:hAnsi="Arial" w:cs="Arial"/>
          <w:color w:val="000000"/>
          <w:sz w:val="27"/>
          <w:szCs w:val="27"/>
        </w:rPr>
        <w:br/>
      </w:r>
    </w:p>
    <w:p w14:paraId="41017581"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OSS 3: PROVIDING SUPPORT TO LAND OWNERS TO LIMIT POLLUTANT LOADS TO SURFACE WATER THROUGH BEST MANAGEMENT PRACTICES </w:t>
      </w:r>
    </w:p>
    <w:p w14:paraId="7005A669"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The diagram below illustrates our assumptions about how the strategies and actions included in the results chain are intended to help reduce pressures and achieve our recovery goals</w:t>
      </w:r>
    </w:p>
    <w:p w14:paraId="23CDEE1A" w14:textId="21BED73D" w:rsidR="00EB0781" w:rsidRPr="00EB0781" w:rsidRDefault="00EB0781" w:rsidP="00EB0781">
      <w:pPr>
        <w:rPr>
          <w:rFonts w:ascii="Times New Roman" w:hAnsi="Times New Roman" w:cs="Times New Roman"/>
          <w:sz w:val="24"/>
          <w:szCs w:val="24"/>
        </w:rPr>
      </w:pPr>
    </w:p>
    <w:p w14:paraId="2E341AE9"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107FE688" wp14:editId="15BBA462">
            <wp:extent cx="8572500" cy="4343400"/>
            <wp:effectExtent l="0" t="0" r="0" b="0"/>
            <wp:docPr id="62" name="Picture 62" descr="C:\Users\stacy.vynne\Documents\Miradi Files\LIO\Final LIO Report Generation\SouthSOundApp\images\RC27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stacy.vynne\Documents\Miradi Files\LIO\Final LIO Report Generation\SouthSOundApp\images\RC27399.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572500" cy="4343400"/>
                    </a:xfrm>
                    <a:prstGeom prst="rect">
                      <a:avLst/>
                    </a:prstGeom>
                    <a:noFill/>
                    <a:ln>
                      <a:noFill/>
                    </a:ln>
                  </pic:spPr>
                </pic:pic>
              </a:graphicData>
            </a:graphic>
          </wp:inline>
        </w:drawing>
      </w:r>
    </w:p>
    <w:p w14:paraId="1FF930B7"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OSS 3: Providing support to land owners to limit pollutant loads to surface water through best management practices</w:t>
      </w:r>
    </w:p>
    <w:p w14:paraId="35CEAEAE" w14:textId="102C93C2" w:rsidR="00EB0781" w:rsidRPr="00EB0781" w:rsidRDefault="00EB0781" w:rsidP="00EB0781">
      <w:pPr>
        <w:rPr>
          <w:rFonts w:ascii="Times New Roman" w:hAnsi="Times New Roman"/>
          <w:sz w:val="24"/>
          <w:szCs w:val="24"/>
        </w:rPr>
      </w:pPr>
    </w:p>
    <w:p w14:paraId="551006A7"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PROVIDING SUPPORT TO LAND OWNERS TO LIMIT POLLUTANT LOADS TO SURFACE WATER THROUGH BEST MANAGEMENT PRACTICES ()</w:t>
      </w:r>
    </w:p>
    <w:p w14:paraId="62DC0C68"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2ED4E685"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Recommended new substrategy under 2016 Action Agenda strategy 10</w:t>
      </w:r>
    </w:p>
    <w:p w14:paraId="389C5602" w14:textId="41ADD5F2" w:rsidR="00EB0781" w:rsidRPr="00EB0781" w:rsidRDefault="00EB0781" w:rsidP="00EB0781">
      <w:pPr>
        <w:rPr>
          <w:rFonts w:ascii="Times New Roman" w:hAnsi="Times New Roman" w:cs="Times New Roman"/>
          <w:sz w:val="24"/>
          <w:szCs w:val="24"/>
        </w:rPr>
      </w:pPr>
    </w:p>
    <w:p w14:paraId="609C4E76"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677AE67F"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65B951B6"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0E989F9"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4A5F0E9E"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BC0924C"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344A2A23"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180A6BC"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0F893831"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2016-0011 South Sound Shellfish Recovery</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E3D64A1" w14:textId="77777777" w:rsidR="00EB0781" w:rsidRPr="00EB0781" w:rsidRDefault="00EB0781" w:rsidP="00EB0781">
            <w:pPr>
              <w:spacing w:line="360" w:lineRule="atLeast"/>
              <w:rPr>
                <w:rFonts w:ascii="Trebuchet MS" w:hAnsi="Trebuchet MS"/>
                <w:sz w:val="20"/>
                <w:szCs w:val="20"/>
              </w:rPr>
            </w:pPr>
          </w:p>
        </w:tc>
      </w:tr>
    </w:tbl>
    <w:p w14:paraId="1C3F5CA8" w14:textId="047D859C" w:rsidR="00EB0781" w:rsidRPr="00EB0781" w:rsidRDefault="00EB0781" w:rsidP="00EB0781">
      <w:pPr>
        <w:spacing w:line="240" w:lineRule="auto"/>
        <w:rPr>
          <w:sz w:val="24"/>
          <w:szCs w:val="24"/>
        </w:rPr>
      </w:pPr>
    </w:p>
    <w:p w14:paraId="45D247A3"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RUNOFF 1: ENHANCE LOCAL COMMUNICATION, EDUCATION, BEHAVIOR CHANGE AND PUBLIC INVOLVEMENT PROGRAMS </w:t>
      </w:r>
    </w:p>
    <w:p w14:paraId="2F13114E"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098BB60E" w14:textId="77777777" w:rsidR="00EB0781" w:rsidRPr="00EB0781" w:rsidRDefault="00EB0781" w:rsidP="00EB0781">
      <w:pPr>
        <w:rPr>
          <w:rFonts w:ascii="Times New Roman" w:hAnsi="Times New Roman" w:cs="Times New Roman"/>
          <w:sz w:val="24"/>
          <w:szCs w:val="24"/>
        </w:rPr>
      </w:pPr>
      <w:r w:rsidRPr="00EB0781">
        <w:rPr>
          <w:rFonts w:ascii="Arial" w:hAnsi="Arial" w:cs="Arial"/>
          <w:color w:val="000000"/>
          <w:sz w:val="27"/>
          <w:szCs w:val="27"/>
        </w:rPr>
        <w:lastRenderedPageBreak/>
        <w:br/>
      </w:r>
    </w:p>
    <w:p w14:paraId="4FD3ECF5"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drawing>
          <wp:inline distT="0" distB="0" distL="0" distR="0" wp14:anchorId="5A9E0730" wp14:editId="7B869021">
            <wp:extent cx="8572500" cy="4676775"/>
            <wp:effectExtent l="0" t="0" r="0" b="9525"/>
            <wp:docPr id="63" name="Picture 63" descr="C:\Users\stacy.vynne\Documents\Miradi Files\LIO\Final LIO Report Generation\SouthSOundApp\images\RC267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stacy.vynne\Documents\Miradi Files\LIO\Final LIO Report Generation\SouthSOundApp\images\RC26732.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572500" cy="4676775"/>
                    </a:xfrm>
                    <a:prstGeom prst="rect">
                      <a:avLst/>
                    </a:prstGeom>
                    <a:noFill/>
                    <a:ln>
                      <a:noFill/>
                    </a:ln>
                  </pic:spPr>
                </pic:pic>
              </a:graphicData>
            </a:graphic>
          </wp:inline>
        </w:drawing>
      </w:r>
    </w:p>
    <w:p w14:paraId="103663D9"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Runoff 1: Enhance Local Communication, Education, Behavior Change and Public Involvement Programs</w:t>
      </w:r>
    </w:p>
    <w:p w14:paraId="72CB56E6" w14:textId="7E4EC3AB" w:rsidR="00EB0781" w:rsidRPr="00EB0781" w:rsidRDefault="00EB0781" w:rsidP="00EB0781">
      <w:pPr>
        <w:rPr>
          <w:rFonts w:ascii="Times New Roman" w:hAnsi="Times New Roman" w:cs="Times New Roman"/>
          <w:sz w:val="24"/>
          <w:szCs w:val="24"/>
        </w:rPr>
      </w:pPr>
    </w:p>
    <w:p w14:paraId="7DD1AA11"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ENHANCE LOCAL COMMUNICATION, EDUCATION, BEHAVIOR CHANGE AND PUBLIC INVOLVEMENT PROGRAMS ()</w:t>
      </w:r>
    </w:p>
    <w:p w14:paraId="6F763965"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2584D533"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Strategy 27 and 2016 Action Agenda Strategy 28</w:t>
      </w:r>
    </w:p>
    <w:p w14:paraId="73F3C297" w14:textId="24966F79" w:rsidR="00EB0781" w:rsidRPr="00EB0781" w:rsidRDefault="00EB0781" w:rsidP="00EB0781">
      <w:pPr>
        <w:rPr>
          <w:rFonts w:ascii="Times New Roman" w:hAnsi="Times New Roman" w:cs="Times New Roman"/>
          <w:sz w:val="24"/>
          <w:szCs w:val="24"/>
        </w:rPr>
      </w:pPr>
    </w:p>
    <w:p w14:paraId="697D1C7B"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7FBA7DCF"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3750"/>
        <w:gridCol w:w="9000"/>
      </w:tblGrid>
      <w:tr w:rsidR="00EB0781" w:rsidRPr="00EB0781" w14:paraId="62A47FA2"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0797A51"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lastRenderedPageBreak/>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F5642AD"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B48CB19"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r w:rsidR="00EB0781" w:rsidRPr="00EB0781" w14:paraId="17AA3C25"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5BC145F0" w14:textId="77777777" w:rsidR="00EB0781" w:rsidRPr="00EB0781" w:rsidRDefault="00EB0781" w:rsidP="00EB0781">
            <w:pPr>
              <w:spacing w:line="240" w:lineRule="atLeast"/>
              <w:jc w:val="center"/>
              <w:rPr>
                <w:rFonts w:ascii="Trebuchet MS" w:hAnsi="Trebuchet MS"/>
                <w:b/>
                <w:bCs/>
                <w:caps/>
                <w:color w:val="FFFFFF"/>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0A4EB18"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2016-0352 Bringing Together Farms and Fish for Water Quality and Habitat Protection</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1DBC890" w14:textId="77777777" w:rsidR="00EB0781" w:rsidRPr="00EB0781" w:rsidRDefault="00EB0781" w:rsidP="00EB0781">
            <w:pPr>
              <w:spacing w:line="360" w:lineRule="atLeast"/>
              <w:rPr>
                <w:rFonts w:ascii="Trebuchet MS" w:hAnsi="Trebuchet MS"/>
                <w:sz w:val="20"/>
                <w:szCs w:val="20"/>
              </w:rPr>
            </w:pPr>
          </w:p>
        </w:tc>
      </w:tr>
      <w:tr w:rsidR="00EB0781" w:rsidRPr="00EB0781" w14:paraId="08A2FDC5"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78D2066B"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C4D32CE"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2016-0172 Expand Conservation District Shore-Friendly Programs across Puget Sound</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28A2CD19" w14:textId="77777777" w:rsidR="00EB0781" w:rsidRPr="00EB0781" w:rsidRDefault="00EB0781" w:rsidP="00EB0781">
            <w:pPr>
              <w:spacing w:line="360" w:lineRule="atLeast"/>
              <w:rPr>
                <w:rFonts w:ascii="Trebuchet MS" w:hAnsi="Trebuchet MS"/>
                <w:sz w:val="20"/>
                <w:szCs w:val="20"/>
              </w:rPr>
            </w:pPr>
          </w:p>
        </w:tc>
      </w:tr>
      <w:tr w:rsidR="00EB0781" w:rsidRPr="00EB0781" w14:paraId="2629961D" w14:textId="77777777" w:rsidTr="00EB0781">
        <w:tc>
          <w:tcPr>
            <w:tcW w:w="0" w:type="auto"/>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6FEE1F31" w14:textId="77777777" w:rsidR="00EB0781" w:rsidRPr="00EB0781" w:rsidRDefault="00EB0781" w:rsidP="00EB0781">
            <w:pPr>
              <w:spacing w:line="360" w:lineRule="atLeast"/>
              <w:rPr>
                <w:sz w:val="20"/>
                <w:szCs w:val="20"/>
              </w:rPr>
            </w:pPr>
          </w:p>
        </w:tc>
        <w:tc>
          <w:tcPr>
            <w:tcW w:w="375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1D2F9696" w14:textId="77777777" w:rsidR="00EB0781" w:rsidRPr="00EB0781" w:rsidRDefault="00EB0781" w:rsidP="00EB0781">
            <w:pPr>
              <w:spacing w:line="360" w:lineRule="atLeast"/>
              <w:rPr>
                <w:rFonts w:ascii="Trebuchet MS" w:hAnsi="Trebuchet MS"/>
                <w:sz w:val="20"/>
                <w:szCs w:val="20"/>
              </w:rPr>
            </w:pPr>
            <w:r w:rsidRPr="00EB0781">
              <w:rPr>
                <w:rFonts w:ascii="Trebuchet MS" w:hAnsi="Trebuchet MS"/>
                <w:sz w:val="20"/>
                <w:szCs w:val="20"/>
              </w:rPr>
              <w:t>2016-0170 K–12 Field Investigation Program</w:t>
            </w:r>
          </w:p>
        </w:tc>
        <w:tc>
          <w:tcPr>
            <w:tcW w:w="9000" w:type="dxa"/>
            <w:tcBorders>
              <w:top w:val="single" w:sz="6" w:space="0" w:color="auto"/>
              <w:left w:val="single" w:sz="6" w:space="0" w:color="auto"/>
              <w:bottom w:val="single" w:sz="6" w:space="0" w:color="auto"/>
              <w:right w:val="single" w:sz="6" w:space="0" w:color="auto"/>
            </w:tcBorders>
            <w:tcMar>
              <w:top w:w="75" w:type="dxa"/>
              <w:left w:w="75" w:type="dxa"/>
              <w:bottom w:w="75" w:type="dxa"/>
              <w:right w:w="75" w:type="dxa"/>
            </w:tcMar>
            <w:hideMark/>
          </w:tcPr>
          <w:p w14:paraId="45B0AEAA" w14:textId="77777777" w:rsidR="00EB0781" w:rsidRPr="00EB0781" w:rsidRDefault="00EB0781" w:rsidP="00EB0781">
            <w:pPr>
              <w:spacing w:line="360" w:lineRule="atLeast"/>
              <w:rPr>
                <w:rFonts w:ascii="Trebuchet MS" w:hAnsi="Trebuchet MS"/>
                <w:sz w:val="20"/>
                <w:szCs w:val="20"/>
              </w:rPr>
            </w:pPr>
          </w:p>
        </w:tc>
      </w:tr>
    </w:tbl>
    <w:p w14:paraId="24708EA9" w14:textId="3CE9B55C" w:rsidR="00EB0781" w:rsidRPr="00EB0781" w:rsidRDefault="00EB0781" w:rsidP="00EB0781">
      <w:pPr>
        <w:spacing w:line="240" w:lineRule="auto"/>
        <w:rPr>
          <w:sz w:val="24"/>
          <w:szCs w:val="24"/>
        </w:rPr>
      </w:pPr>
    </w:p>
    <w:p w14:paraId="0D1D9EBF"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RUNOFF 2: IMPLEMENT A COORDINATED AND INTEGRATED LOCAL MONITORING PROGRAM </w:t>
      </w:r>
    </w:p>
    <w:p w14:paraId="445FC573"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2926B23B" w14:textId="601C611F" w:rsidR="00EB0781" w:rsidRPr="00EB0781" w:rsidRDefault="00EB0781" w:rsidP="00EB0781">
      <w:pPr>
        <w:rPr>
          <w:rFonts w:ascii="Times New Roman" w:hAnsi="Times New Roman" w:cs="Times New Roman"/>
          <w:sz w:val="24"/>
          <w:szCs w:val="24"/>
        </w:rPr>
      </w:pPr>
    </w:p>
    <w:p w14:paraId="4C905906"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74543E11" wp14:editId="5EDE0A96">
            <wp:extent cx="8572500" cy="5353050"/>
            <wp:effectExtent l="0" t="0" r="0" b="0"/>
            <wp:docPr id="64" name="Picture 64" descr="C:\Users\stacy.vynne\Documents\Miradi Files\LIO\Final LIO Report Generation\SouthSOundApp\images\RC2688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stacy.vynne\Documents\Miradi Files\LIO\Final LIO Report Generation\SouthSOundApp\images\RC26889.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572500" cy="5353050"/>
                    </a:xfrm>
                    <a:prstGeom prst="rect">
                      <a:avLst/>
                    </a:prstGeom>
                    <a:noFill/>
                    <a:ln>
                      <a:noFill/>
                    </a:ln>
                  </pic:spPr>
                </pic:pic>
              </a:graphicData>
            </a:graphic>
          </wp:inline>
        </w:drawing>
      </w:r>
    </w:p>
    <w:p w14:paraId="58B421FB"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Runoff 2: Implement a Coordinated and Integrated Local Monitoring Program</w:t>
      </w:r>
    </w:p>
    <w:p w14:paraId="11887C1E" w14:textId="026E6B60" w:rsidR="00EB0781" w:rsidRPr="00EB0781" w:rsidRDefault="00EB0781" w:rsidP="00EB0781">
      <w:pPr>
        <w:rPr>
          <w:rFonts w:ascii="Times New Roman" w:hAnsi="Times New Roman"/>
          <w:sz w:val="24"/>
          <w:szCs w:val="24"/>
        </w:rPr>
      </w:pPr>
    </w:p>
    <w:p w14:paraId="3C0E4DE3"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IMPLEMENT A COORDINATED AND INTEGRATED LOCAL MONITORING PROGRAM ()</w:t>
      </w:r>
    </w:p>
    <w:p w14:paraId="0BCEBFC8"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15A0059E"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Substrategy 25.2</w:t>
      </w:r>
    </w:p>
    <w:p w14:paraId="37044D73" w14:textId="0563560E" w:rsidR="00EB0781" w:rsidRPr="00EB0781" w:rsidRDefault="00EB0781" w:rsidP="00EB0781">
      <w:pPr>
        <w:rPr>
          <w:rFonts w:ascii="Times New Roman" w:hAnsi="Times New Roman" w:cs="Times New Roman"/>
          <w:sz w:val="24"/>
          <w:szCs w:val="24"/>
        </w:rPr>
      </w:pPr>
    </w:p>
    <w:p w14:paraId="3B1C0075"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3C4A4D83"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1902"/>
        <w:gridCol w:w="1365"/>
      </w:tblGrid>
      <w:tr w:rsidR="00EB0781" w:rsidRPr="00EB0781" w14:paraId="4AF6201C"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98C7F99"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6E07BE5C"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3A1ECEF3"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bl>
    <w:p w14:paraId="5F3AB839" w14:textId="282AD654" w:rsidR="00EB0781" w:rsidRPr="00EB0781" w:rsidRDefault="00EB0781" w:rsidP="00EB0781">
      <w:pPr>
        <w:spacing w:line="240" w:lineRule="auto"/>
        <w:rPr>
          <w:rFonts w:ascii="Times New Roman" w:hAnsi="Times New Roman"/>
          <w:sz w:val="24"/>
          <w:szCs w:val="24"/>
        </w:rPr>
      </w:pPr>
    </w:p>
    <w:p w14:paraId="6ABA4BAE"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lastRenderedPageBreak/>
        <w:t xml:space="preserve">THEORY OF CHANGE: RUNOFF 3: ENHANCE LOCAL COMPLIANCE AND ENFORCEMENT PROGRAMS </w:t>
      </w:r>
    </w:p>
    <w:p w14:paraId="07F63E69"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0CC500B7" w14:textId="63492E92" w:rsidR="00EB0781" w:rsidRPr="00EB0781" w:rsidRDefault="00EB0781" w:rsidP="00EB0781">
      <w:pPr>
        <w:rPr>
          <w:rFonts w:ascii="Times New Roman" w:hAnsi="Times New Roman" w:cs="Times New Roman"/>
          <w:sz w:val="24"/>
          <w:szCs w:val="24"/>
        </w:rPr>
      </w:pPr>
    </w:p>
    <w:p w14:paraId="7CB9134A"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drawing>
          <wp:inline distT="0" distB="0" distL="0" distR="0" wp14:anchorId="0748F270" wp14:editId="14897347">
            <wp:extent cx="8572500" cy="7267575"/>
            <wp:effectExtent l="0" t="0" r="0" b="9525"/>
            <wp:docPr id="65" name="Picture 65" descr="C:\Users\stacy.vynne\Documents\Miradi Files\LIO\Final LIO Report Generation\SouthSOundApp\images\RC2718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stacy.vynne\Documents\Miradi Files\LIO\Final LIO Report Generation\SouthSOundApp\images\RC27187.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572500" cy="7267575"/>
                    </a:xfrm>
                    <a:prstGeom prst="rect">
                      <a:avLst/>
                    </a:prstGeom>
                    <a:noFill/>
                    <a:ln>
                      <a:noFill/>
                    </a:ln>
                  </pic:spPr>
                </pic:pic>
              </a:graphicData>
            </a:graphic>
          </wp:inline>
        </w:drawing>
      </w:r>
    </w:p>
    <w:p w14:paraId="63260188"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lastRenderedPageBreak/>
        <w:t>Description of theory of change associated with Runoff 3: Enhance Local Compliance and Enforcement Programs</w:t>
      </w:r>
    </w:p>
    <w:p w14:paraId="0C5330FE" w14:textId="77777777" w:rsidR="00EB0781" w:rsidRPr="00EB0781" w:rsidRDefault="00EB0781" w:rsidP="00EB0781">
      <w:pPr>
        <w:rPr>
          <w:rFonts w:ascii="Times New Roman" w:hAnsi="Times New Roman" w:cs="Times New Roman"/>
          <w:sz w:val="24"/>
          <w:szCs w:val="24"/>
        </w:rPr>
      </w:pPr>
    </w:p>
    <w:p w14:paraId="6E8B353F"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ENHANCE LOCAL COMPLIANCE AND ENFORCEMENT PROGRAMS ()</w:t>
      </w:r>
    </w:p>
    <w:p w14:paraId="6D869BD5"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60153496"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Consistent with 2016 Action Agenda substrategy 9.6</w:t>
      </w:r>
    </w:p>
    <w:p w14:paraId="288F4239" w14:textId="26BC2D53" w:rsidR="00EB0781" w:rsidRPr="00EB0781" w:rsidRDefault="00EB0781" w:rsidP="00EB0781">
      <w:pPr>
        <w:rPr>
          <w:rFonts w:ascii="Times New Roman" w:hAnsi="Times New Roman" w:cs="Times New Roman"/>
          <w:sz w:val="24"/>
          <w:szCs w:val="24"/>
        </w:rPr>
      </w:pPr>
    </w:p>
    <w:p w14:paraId="1AEC557B"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7798222D"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1902"/>
        <w:gridCol w:w="1365"/>
      </w:tblGrid>
      <w:tr w:rsidR="00EB0781" w:rsidRPr="00EB0781" w14:paraId="7670AD15"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22641807"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4FA8BCC"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4AD20759"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bl>
    <w:p w14:paraId="5BACF0F8" w14:textId="437EE316" w:rsidR="00EB0781" w:rsidRPr="00EB0781" w:rsidRDefault="00EB0781" w:rsidP="00EB0781">
      <w:pPr>
        <w:spacing w:line="240" w:lineRule="auto"/>
        <w:rPr>
          <w:rFonts w:ascii="Times New Roman" w:hAnsi="Times New Roman"/>
          <w:sz w:val="24"/>
          <w:szCs w:val="24"/>
        </w:rPr>
      </w:pPr>
    </w:p>
    <w:p w14:paraId="14A53B21" w14:textId="77777777" w:rsidR="00EB0781" w:rsidRPr="00EB0781" w:rsidRDefault="00EB0781" w:rsidP="00EB0781">
      <w:pPr>
        <w:spacing w:before="300" w:after="150" w:line="240" w:lineRule="auto"/>
        <w:outlineLvl w:val="1"/>
        <w:rPr>
          <w:rFonts w:ascii="Trebuchet MS" w:eastAsia="Times New Roman" w:hAnsi="Trebuchet MS" w:cs="Times New Roman"/>
          <w:b/>
          <w:bCs/>
          <w:caps/>
          <w:color w:val="003A5D"/>
          <w:sz w:val="24"/>
          <w:szCs w:val="24"/>
        </w:rPr>
      </w:pPr>
      <w:r w:rsidRPr="00EB0781">
        <w:rPr>
          <w:rFonts w:ascii="Trebuchet MS" w:eastAsia="Times New Roman" w:hAnsi="Trebuchet MS" w:cs="Times New Roman"/>
          <w:b/>
          <w:bCs/>
          <w:color w:val="003A5D"/>
          <w:sz w:val="24"/>
          <w:szCs w:val="24"/>
        </w:rPr>
        <w:t xml:space="preserve">THEORY OF CHANGE: RUNOFF 4: IMPLEMENT LOCAL STORMWATER MANAGEMENT PROGRAMS USING A WATERSHED MANAGEMENT APPROACH </w:t>
      </w:r>
    </w:p>
    <w:p w14:paraId="21DA1D15" w14:textId="77777777" w:rsidR="00EB0781" w:rsidRPr="00EB0781" w:rsidRDefault="00EB0781" w:rsidP="00EB0781">
      <w:pPr>
        <w:spacing w:after="150" w:line="240" w:lineRule="auto"/>
        <w:rPr>
          <w:rFonts w:ascii="Times New Roman" w:eastAsia="Times New Roman" w:hAnsi="Times New Roman" w:cs="Times New Roman"/>
          <w:color w:val="003A5D"/>
          <w:sz w:val="24"/>
          <w:szCs w:val="24"/>
        </w:rPr>
      </w:pPr>
      <w:r w:rsidRPr="00EB0781">
        <w:rPr>
          <w:rFonts w:ascii="Arial" w:eastAsia="Times New Roman" w:hAnsi="Arial" w:cs="Arial"/>
          <w:color w:val="003A5D"/>
          <w:sz w:val="20"/>
          <w:szCs w:val="20"/>
        </w:rPr>
        <w:t xml:space="preserve">The diagram below illustrates our assumptions about how the strategies and actions included in the results chain are intended to help reduce pressures and achieve our recovery goals. </w:t>
      </w:r>
    </w:p>
    <w:p w14:paraId="479A7C08" w14:textId="77777777" w:rsidR="00EB0781" w:rsidRPr="00EB0781" w:rsidRDefault="00EB0781" w:rsidP="00EB0781">
      <w:pPr>
        <w:rPr>
          <w:rFonts w:ascii="Arial" w:hAnsi="Arial" w:cs="Arial"/>
          <w:color w:val="000000"/>
          <w:sz w:val="27"/>
          <w:szCs w:val="27"/>
        </w:rPr>
      </w:pPr>
      <w:r w:rsidRPr="00EB0781">
        <w:rPr>
          <w:rFonts w:ascii="Arial" w:hAnsi="Arial" w:cs="Arial"/>
          <w:noProof/>
          <w:color w:val="000000"/>
          <w:sz w:val="27"/>
          <w:szCs w:val="27"/>
        </w:rPr>
        <w:lastRenderedPageBreak/>
        <w:drawing>
          <wp:inline distT="0" distB="0" distL="0" distR="0" wp14:anchorId="7818344B" wp14:editId="539B28B7">
            <wp:extent cx="8572500" cy="5934075"/>
            <wp:effectExtent l="0" t="0" r="0" b="9525"/>
            <wp:docPr id="68" name="Picture 68" descr="C:\Users\stacy.vynne\Documents\Miradi Files\LIO\Final LIO Report Generation\SouthSOundApp\images\RC270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stacy.vynne\Documents\Miradi Files\LIO\Final LIO Report Generation\SouthSOundApp\images\RC27033.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572500" cy="5934075"/>
                    </a:xfrm>
                    <a:prstGeom prst="rect">
                      <a:avLst/>
                    </a:prstGeom>
                    <a:noFill/>
                    <a:ln>
                      <a:noFill/>
                    </a:ln>
                  </pic:spPr>
                </pic:pic>
              </a:graphicData>
            </a:graphic>
          </wp:inline>
        </w:drawing>
      </w:r>
    </w:p>
    <w:p w14:paraId="0C950ABD"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Description of theory of change associated with Runoff 4: Implement Local Stormwater Management Programs using a Watershed Management Approach</w:t>
      </w:r>
    </w:p>
    <w:p w14:paraId="4CC9A13E" w14:textId="244EAE2C" w:rsidR="00EB0781" w:rsidRPr="00EB0781" w:rsidRDefault="00EB0781" w:rsidP="00EB0781">
      <w:pPr>
        <w:rPr>
          <w:rFonts w:ascii="Times New Roman" w:hAnsi="Times New Roman"/>
          <w:sz w:val="24"/>
          <w:szCs w:val="24"/>
        </w:rPr>
      </w:pPr>
    </w:p>
    <w:p w14:paraId="6E3BA448" w14:textId="77777777" w:rsidR="00EB0781" w:rsidRPr="00EB0781" w:rsidRDefault="00EB0781" w:rsidP="00EB0781">
      <w:pPr>
        <w:spacing w:before="75" w:after="75" w:line="240" w:lineRule="auto"/>
        <w:outlineLvl w:val="2"/>
        <w:rPr>
          <w:rFonts w:ascii="Trebuchet MS" w:eastAsia="Times New Roman" w:hAnsi="Trebuchet MS" w:cs="Times New Roman"/>
          <w:b/>
          <w:bCs/>
          <w:caps/>
          <w:color w:val="003A5D"/>
          <w:sz w:val="20"/>
          <w:szCs w:val="20"/>
        </w:rPr>
      </w:pPr>
      <w:r w:rsidRPr="00EB0781">
        <w:rPr>
          <w:rFonts w:ascii="Trebuchet MS" w:eastAsia="Times New Roman" w:hAnsi="Trebuchet MS" w:cs="Times New Roman"/>
          <w:b/>
          <w:bCs/>
          <w:color w:val="003A5D"/>
          <w:sz w:val="20"/>
          <w:szCs w:val="20"/>
        </w:rPr>
        <w:t>STRATEGY: IMPLEMENT LOCAL STORMWATER MANAGEMENT PROGRAMS USING A WATERSHED MANAGEMENT APPROACH ()</w:t>
      </w:r>
    </w:p>
    <w:p w14:paraId="011A596B"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Details</w:t>
      </w:r>
    </w:p>
    <w:p w14:paraId="6AE509B4" w14:textId="77777777" w:rsidR="00EB0781" w:rsidRPr="00EB0781" w:rsidRDefault="00EB0781" w:rsidP="00EB0781">
      <w:pPr>
        <w:spacing w:after="0" w:line="240" w:lineRule="auto"/>
        <w:rPr>
          <w:rFonts w:ascii="Arial" w:eastAsia="Times New Roman" w:hAnsi="Arial" w:cs="Arial"/>
          <w:color w:val="000000"/>
          <w:sz w:val="20"/>
          <w:szCs w:val="20"/>
        </w:rPr>
      </w:pPr>
      <w:r w:rsidRPr="00EB0781">
        <w:rPr>
          <w:rFonts w:ascii="Arial" w:eastAsia="Times New Roman" w:hAnsi="Arial" w:cs="Arial"/>
          <w:color w:val="000000"/>
          <w:sz w:val="20"/>
          <w:szCs w:val="20"/>
        </w:rPr>
        <w:t>Similar to 2016 Action Agenda substrategy 10.1</w:t>
      </w:r>
    </w:p>
    <w:p w14:paraId="6FB22232" w14:textId="68506125" w:rsidR="00EB0781" w:rsidRPr="00EB0781" w:rsidRDefault="00EB0781" w:rsidP="00EB0781">
      <w:pPr>
        <w:rPr>
          <w:rFonts w:ascii="Times New Roman" w:hAnsi="Times New Roman" w:cs="Times New Roman"/>
          <w:sz w:val="24"/>
          <w:szCs w:val="24"/>
        </w:rPr>
      </w:pPr>
    </w:p>
    <w:p w14:paraId="1FD6BB72" w14:textId="77777777" w:rsidR="00EB0781" w:rsidRPr="00EB0781" w:rsidRDefault="00EB0781" w:rsidP="00EB0781">
      <w:pPr>
        <w:spacing w:before="75" w:after="75" w:line="240" w:lineRule="auto"/>
        <w:outlineLvl w:val="3"/>
        <w:rPr>
          <w:rFonts w:ascii="Trebuchet MS" w:eastAsia="Times New Roman" w:hAnsi="Trebuchet MS" w:cs="Times New Roman"/>
          <w:b/>
          <w:bCs/>
          <w:i/>
          <w:iCs/>
          <w:color w:val="003A5D"/>
          <w:sz w:val="18"/>
          <w:szCs w:val="18"/>
        </w:rPr>
      </w:pPr>
      <w:r w:rsidRPr="00EB0781">
        <w:rPr>
          <w:rFonts w:ascii="Trebuchet MS" w:eastAsia="Times New Roman" w:hAnsi="Trebuchet MS" w:cs="Times New Roman"/>
          <w:b/>
          <w:bCs/>
          <w:color w:val="003A5D"/>
          <w:sz w:val="18"/>
          <w:szCs w:val="18"/>
        </w:rPr>
        <w:t>Actions</w:t>
      </w:r>
    </w:p>
    <w:p w14:paraId="0BE1D1D2" w14:textId="77777777" w:rsidR="00EB0781" w:rsidRPr="00EB0781" w:rsidRDefault="00EB0781" w:rsidP="00EB0781">
      <w:pPr>
        <w:spacing w:after="150" w:line="240" w:lineRule="auto"/>
        <w:rPr>
          <w:rFonts w:ascii="Arial" w:eastAsia="Times New Roman" w:hAnsi="Arial" w:cs="Arial"/>
          <w:color w:val="003A5D"/>
          <w:sz w:val="20"/>
          <w:szCs w:val="20"/>
        </w:rPr>
      </w:pPr>
      <w:r w:rsidRPr="00EB0781">
        <w:rPr>
          <w:rFonts w:ascii="Arial" w:eastAsia="Times New Roman" w:hAnsi="Arial" w:cs="Arial"/>
          <w:color w:val="003A5D"/>
          <w:sz w:val="20"/>
          <w:szCs w:val="20"/>
        </w:rPr>
        <w:t>This table lists all identified actions associated with this strategy. Actions can include capital projects (e.g. restoration and acquisition), program development or implementation, education and outreach, research, or other types of activities. Actions can be completed on a near-term (i.e. 2 years or less) or longer-term time scale.</w:t>
      </w:r>
    </w:p>
    <w:tbl>
      <w:tblPr>
        <w:tblW w:w="0" w:type="auto"/>
        <w:tblCellMar>
          <w:top w:w="15" w:type="dxa"/>
          <w:left w:w="15" w:type="dxa"/>
          <w:bottom w:w="15" w:type="dxa"/>
          <w:right w:w="15" w:type="dxa"/>
        </w:tblCellMar>
        <w:tblLook w:val="04A0" w:firstRow="1" w:lastRow="0" w:firstColumn="1" w:lastColumn="0" w:noHBand="0" w:noVBand="1"/>
      </w:tblPr>
      <w:tblGrid>
        <w:gridCol w:w="335"/>
        <w:gridCol w:w="1902"/>
        <w:gridCol w:w="1365"/>
      </w:tblGrid>
      <w:tr w:rsidR="00EB0781" w:rsidRPr="00EB0781" w14:paraId="687E2161" w14:textId="77777777" w:rsidTr="00EB0781">
        <w:trPr>
          <w:tblHeader/>
        </w:trPr>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713B0AC0" w14:textId="77777777" w:rsidR="00EB0781" w:rsidRPr="00EB0781" w:rsidRDefault="00EB0781" w:rsidP="00EB0781">
            <w:pPr>
              <w:spacing w:line="240" w:lineRule="atLeast"/>
              <w:jc w:val="center"/>
              <w:rPr>
                <w:rFonts w:ascii="Trebuchet MS" w:hAnsi="Trebuchet MS" w:cs="Times New Roman"/>
                <w:b/>
                <w:bCs/>
                <w:caps/>
                <w:color w:val="FFFFFF"/>
                <w:sz w:val="20"/>
                <w:szCs w:val="20"/>
              </w:rPr>
            </w:pPr>
            <w:r w:rsidRPr="00EB0781">
              <w:rPr>
                <w:rFonts w:ascii="Trebuchet MS" w:hAnsi="Trebuchet MS"/>
                <w:b/>
                <w:bCs/>
                <w:caps/>
                <w:color w:val="FFFFFF"/>
                <w:sz w:val="20"/>
                <w:szCs w:val="20"/>
              </w:rPr>
              <w:lastRenderedPageBreak/>
              <w:t>ID</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01186110"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ACTIVITY / ACTION</w:t>
            </w:r>
          </w:p>
        </w:tc>
        <w:tc>
          <w:tcPr>
            <w:tcW w:w="0" w:type="auto"/>
            <w:tcBorders>
              <w:top w:val="single" w:sz="6" w:space="0" w:color="000000"/>
              <w:left w:val="single" w:sz="6" w:space="0" w:color="000000"/>
              <w:bottom w:val="single" w:sz="18" w:space="0" w:color="000000"/>
              <w:right w:val="single" w:sz="6" w:space="0" w:color="000000"/>
            </w:tcBorders>
            <w:shd w:val="clear" w:color="auto" w:fill="003A5D"/>
            <w:tcMar>
              <w:top w:w="75" w:type="dxa"/>
              <w:left w:w="75" w:type="dxa"/>
              <w:bottom w:w="75" w:type="dxa"/>
              <w:right w:w="75" w:type="dxa"/>
            </w:tcMar>
            <w:vAlign w:val="center"/>
            <w:hideMark/>
          </w:tcPr>
          <w:p w14:paraId="1F50594A" w14:textId="77777777" w:rsidR="00EB0781" w:rsidRPr="00EB0781" w:rsidRDefault="00EB0781" w:rsidP="00EB0781">
            <w:pPr>
              <w:spacing w:line="240" w:lineRule="atLeast"/>
              <w:jc w:val="center"/>
              <w:rPr>
                <w:rFonts w:ascii="Trebuchet MS" w:hAnsi="Trebuchet MS"/>
                <w:b/>
                <w:bCs/>
                <w:caps/>
                <w:color w:val="FFFFFF"/>
                <w:sz w:val="20"/>
                <w:szCs w:val="20"/>
              </w:rPr>
            </w:pPr>
            <w:r w:rsidRPr="00EB0781">
              <w:rPr>
                <w:rFonts w:ascii="Trebuchet MS" w:hAnsi="Trebuchet MS"/>
                <w:b/>
                <w:bCs/>
                <w:caps/>
                <w:color w:val="FFFFFF"/>
                <w:sz w:val="20"/>
                <w:szCs w:val="20"/>
              </w:rPr>
              <w:t>DESCRIPTION</w:t>
            </w:r>
          </w:p>
        </w:tc>
      </w:tr>
    </w:tbl>
    <w:p w14:paraId="4D88DC12" w14:textId="77777777" w:rsidR="009172FA" w:rsidRDefault="009172FA" w:rsidP="00C25671">
      <w:pPr>
        <w:sectPr w:rsidR="009172FA" w:rsidSect="00EB0781">
          <w:footerReference w:type="default" r:id="rId49"/>
          <w:pgSz w:w="24480" w:h="15840" w:orient="landscape" w:code="3"/>
          <w:pgMar w:top="1440" w:right="1440" w:bottom="1440" w:left="1440" w:header="720" w:footer="720" w:gutter="0"/>
          <w:cols w:space="720"/>
          <w:docGrid w:linePitch="360"/>
        </w:sectPr>
      </w:pPr>
    </w:p>
    <w:p w14:paraId="39E81D81" w14:textId="5524C08C" w:rsidR="009172FA" w:rsidRDefault="009172FA" w:rsidP="009172FA">
      <w:pPr>
        <w:spacing w:before="300" w:after="150" w:line="240" w:lineRule="auto"/>
        <w:outlineLvl w:val="1"/>
        <w:rPr>
          <w:rFonts w:ascii="Trebuchet MS" w:eastAsia="Times New Roman" w:hAnsi="Trebuchet MS" w:cs="Times New Roman"/>
          <w:b/>
          <w:bCs/>
          <w:color w:val="003A5D"/>
          <w:sz w:val="24"/>
          <w:szCs w:val="24"/>
        </w:rPr>
      </w:pPr>
      <w:r>
        <w:rPr>
          <w:rFonts w:ascii="Trebuchet MS" w:eastAsia="Times New Roman" w:hAnsi="Trebuchet MS" w:cs="Times New Roman"/>
          <w:b/>
          <w:bCs/>
          <w:color w:val="003A5D"/>
          <w:sz w:val="24"/>
          <w:szCs w:val="24"/>
        </w:rPr>
        <w:lastRenderedPageBreak/>
        <w:t>E</w:t>
      </w:r>
      <w:r w:rsidRPr="00EB0781">
        <w:rPr>
          <w:rFonts w:ascii="Trebuchet MS" w:eastAsia="Times New Roman" w:hAnsi="Trebuchet MS" w:cs="Times New Roman"/>
          <w:b/>
          <w:bCs/>
          <w:color w:val="003A5D"/>
          <w:sz w:val="24"/>
          <w:szCs w:val="24"/>
        </w:rPr>
        <w:t xml:space="preserve">. </w:t>
      </w:r>
      <w:r>
        <w:rPr>
          <w:rFonts w:ascii="Trebuchet MS" w:eastAsia="Times New Roman" w:hAnsi="Trebuchet MS" w:cs="Times New Roman"/>
          <w:b/>
          <w:bCs/>
          <w:color w:val="003A5D"/>
          <w:sz w:val="24"/>
          <w:szCs w:val="24"/>
        </w:rPr>
        <w:t>PRESSURES AND RELATIONSHIP TO VITAL SIGNS/COMPONENTS</w:t>
      </w:r>
    </w:p>
    <w:tbl>
      <w:tblPr>
        <w:tblW w:w="14400" w:type="dxa"/>
        <w:tblLayout w:type="fixed"/>
        <w:tblLook w:val="04A0" w:firstRow="1" w:lastRow="0" w:firstColumn="1" w:lastColumn="0" w:noHBand="0" w:noVBand="1"/>
      </w:tblPr>
      <w:tblGrid>
        <w:gridCol w:w="1452"/>
        <w:gridCol w:w="1452"/>
        <w:gridCol w:w="1506"/>
        <w:gridCol w:w="360"/>
        <w:gridCol w:w="450"/>
        <w:gridCol w:w="630"/>
        <w:gridCol w:w="450"/>
        <w:gridCol w:w="630"/>
        <w:gridCol w:w="540"/>
        <w:gridCol w:w="720"/>
        <w:gridCol w:w="540"/>
        <w:gridCol w:w="450"/>
        <w:gridCol w:w="540"/>
        <w:gridCol w:w="450"/>
        <w:gridCol w:w="540"/>
        <w:gridCol w:w="540"/>
        <w:gridCol w:w="450"/>
        <w:gridCol w:w="450"/>
        <w:gridCol w:w="720"/>
        <w:gridCol w:w="810"/>
        <w:gridCol w:w="720"/>
      </w:tblGrid>
      <w:tr w:rsidR="00E70E21" w:rsidRPr="007C1896" w14:paraId="73499748" w14:textId="77777777" w:rsidTr="00E70E21">
        <w:trPr>
          <w:trHeight w:val="350"/>
          <w:tblHeader/>
        </w:trPr>
        <w:tc>
          <w:tcPr>
            <w:tcW w:w="1452" w:type="dxa"/>
            <w:tcBorders>
              <w:top w:val="nil"/>
              <w:left w:val="nil"/>
              <w:bottom w:val="nil"/>
              <w:right w:val="nil"/>
            </w:tcBorders>
            <w:shd w:val="clear" w:color="auto" w:fill="auto"/>
            <w:vAlign w:val="bottom"/>
            <w:hideMark/>
          </w:tcPr>
          <w:p w14:paraId="29B16B4C" w14:textId="77777777" w:rsidR="00E70E21" w:rsidRPr="007C1896" w:rsidRDefault="00E70E21" w:rsidP="00E70E21">
            <w:pPr>
              <w:spacing w:after="0" w:line="240" w:lineRule="auto"/>
              <w:rPr>
                <w:rFonts w:ascii="Times New Roman" w:eastAsia="Times New Roman" w:hAnsi="Times New Roman" w:cs="Times New Roman"/>
                <w:sz w:val="24"/>
                <w:szCs w:val="24"/>
              </w:rPr>
            </w:pPr>
          </w:p>
        </w:tc>
        <w:tc>
          <w:tcPr>
            <w:tcW w:w="1452" w:type="dxa"/>
            <w:tcBorders>
              <w:top w:val="nil"/>
              <w:left w:val="nil"/>
              <w:bottom w:val="nil"/>
              <w:right w:val="nil"/>
            </w:tcBorders>
            <w:shd w:val="clear" w:color="auto" w:fill="auto"/>
            <w:vAlign w:val="bottom"/>
            <w:hideMark/>
          </w:tcPr>
          <w:p w14:paraId="166E12A3" w14:textId="77777777" w:rsidR="00E70E21" w:rsidRPr="007C1896" w:rsidRDefault="00E70E21" w:rsidP="00E70E21">
            <w:pPr>
              <w:spacing w:after="0" w:line="240" w:lineRule="auto"/>
              <w:rPr>
                <w:rFonts w:ascii="Times New Roman" w:eastAsia="Times New Roman" w:hAnsi="Times New Roman" w:cs="Times New Roman"/>
                <w:sz w:val="20"/>
                <w:szCs w:val="20"/>
              </w:rPr>
            </w:pPr>
          </w:p>
        </w:tc>
        <w:tc>
          <w:tcPr>
            <w:tcW w:w="1506" w:type="dxa"/>
            <w:tcBorders>
              <w:top w:val="nil"/>
              <w:left w:val="nil"/>
              <w:bottom w:val="nil"/>
              <w:right w:val="nil"/>
            </w:tcBorders>
            <w:shd w:val="clear" w:color="auto" w:fill="auto"/>
            <w:vAlign w:val="bottom"/>
            <w:hideMark/>
          </w:tcPr>
          <w:p w14:paraId="17CDAA65" w14:textId="77777777" w:rsidR="00E70E21" w:rsidRPr="007C1896" w:rsidRDefault="00E70E21" w:rsidP="00E70E21">
            <w:pPr>
              <w:spacing w:after="0" w:line="240" w:lineRule="auto"/>
              <w:rPr>
                <w:rFonts w:ascii="Times New Roman" w:eastAsia="Times New Roman" w:hAnsi="Times New Roman" w:cs="Times New Roman"/>
                <w:sz w:val="20"/>
                <w:szCs w:val="20"/>
              </w:rPr>
            </w:pPr>
          </w:p>
        </w:tc>
        <w:tc>
          <w:tcPr>
            <w:tcW w:w="9990" w:type="dxa"/>
            <w:gridSpan w:val="18"/>
            <w:tcBorders>
              <w:top w:val="single" w:sz="4" w:space="0" w:color="auto"/>
              <w:left w:val="single" w:sz="4" w:space="0" w:color="auto"/>
              <w:bottom w:val="single" w:sz="4" w:space="0" w:color="auto"/>
              <w:right w:val="single" w:sz="4" w:space="0" w:color="auto"/>
            </w:tcBorders>
            <w:shd w:val="clear" w:color="auto" w:fill="auto"/>
            <w:vAlign w:val="bottom"/>
            <w:hideMark/>
          </w:tcPr>
          <w:p w14:paraId="480E9A7D" w14:textId="77777777" w:rsidR="00E70E21" w:rsidRPr="007C1896" w:rsidRDefault="00E70E21" w:rsidP="00E70E21">
            <w:pPr>
              <w:spacing w:after="0" w:line="240" w:lineRule="auto"/>
              <w:jc w:val="center"/>
              <w:rPr>
                <w:rFonts w:ascii="Calibri" w:eastAsia="Times New Roman" w:hAnsi="Calibri" w:cs="Times New Roman"/>
                <w:color w:val="000000"/>
              </w:rPr>
            </w:pPr>
            <w:r w:rsidRPr="007C1896">
              <w:rPr>
                <w:rFonts w:ascii="Calibri" w:eastAsia="Times New Roman" w:hAnsi="Calibri" w:cs="Times New Roman"/>
                <w:color w:val="000000"/>
              </w:rPr>
              <w:t>Vital Signs</w:t>
            </w:r>
          </w:p>
        </w:tc>
      </w:tr>
      <w:tr w:rsidR="00E70E21" w:rsidRPr="007C1896" w14:paraId="18528F96" w14:textId="77777777" w:rsidTr="00E70E21">
        <w:trPr>
          <w:cantSplit/>
          <w:trHeight w:val="1907"/>
          <w:tblHeader/>
        </w:trPr>
        <w:tc>
          <w:tcPr>
            <w:tcW w:w="1452"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693D983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Pressure Name</w:t>
            </w:r>
          </w:p>
        </w:tc>
        <w:tc>
          <w:tcPr>
            <w:tcW w:w="1452" w:type="dxa"/>
            <w:tcBorders>
              <w:top w:val="single" w:sz="4" w:space="0" w:color="auto"/>
              <w:left w:val="nil"/>
              <w:bottom w:val="single" w:sz="4" w:space="0" w:color="auto"/>
              <w:right w:val="single" w:sz="4" w:space="0" w:color="auto"/>
            </w:tcBorders>
            <w:shd w:val="clear" w:color="auto" w:fill="auto"/>
            <w:vAlign w:val="bottom"/>
            <w:hideMark/>
          </w:tcPr>
          <w:p w14:paraId="7B0682B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Pressures - Sources</w:t>
            </w:r>
          </w:p>
        </w:tc>
        <w:tc>
          <w:tcPr>
            <w:tcW w:w="1506" w:type="dxa"/>
            <w:tcBorders>
              <w:top w:val="single" w:sz="4" w:space="0" w:color="auto"/>
              <w:left w:val="nil"/>
              <w:bottom w:val="single" w:sz="4" w:space="0" w:color="auto"/>
              <w:right w:val="single" w:sz="4" w:space="0" w:color="auto"/>
            </w:tcBorders>
            <w:shd w:val="clear" w:color="auto" w:fill="auto"/>
            <w:vAlign w:val="bottom"/>
            <w:hideMark/>
          </w:tcPr>
          <w:p w14:paraId="43D1EB3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Standard Classification</w:t>
            </w:r>
          </w:p>
        </w:tc>
        <w:tc>
          <w:tcPr>
            <w:tcW w:w="360" w:type="dxa"/>
            <w:tcBorders>
              <w:top w:val="nil"/>
              <w:left w:val="nil"/>
              <w:bottom w:val="single" w:sz="4" w:space="0" w:color="auto"/>
              <w:right w:val="single" w:sz="4" w:space="0" w:color="auto"/>
            </w:tcBorders>
            <w:shd w:val="clear" w:color="auto" w:fill="auto"/>
            <w:textDirection w:val="btLr"/>
            <w:vAlign w:val="bottom"/>
            <w:hideMark/>
          </w:tcPr>
          <w:p w14:paraId="673A8310"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Estuaries</w:t>
            </w:r>
          </w:p>
        </w:tc>
        <w:tc>
          <w:tcPr>
            <w:tcW w:w="450" w:type="dxa"/>
            <w:tcBorders>
              <w:top w:val="nil"/>
              <w:left w:val="nil"/>
              <w:bottom w:val="single" w:sz="4" w:space="0" w:color="auto"/>
              <w:right w:val="single" w:sz="4" w:space="0" w:color="auto"/>
            </w:tcBorders>
            <w:shd w:val="clear" w:color="auto" w:fill="auto"/>
            <w:textDirection w:val="btLr"/>
            <w:vAlign w:val="bottom"/>
            <w:hideMark/>
          </w:tcPr>
          <w:p w14:paraId="4AC2D8F9"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Floodplains</w:t>
            </w:r>
          </w:p>
        </w:tc>
        <w:tc>
          <w:tcPr>
            <w:tcW w:w="630" w:type="dxa"/>
            <w:tcBorders>
              <w:top w:val="nil"/>
              <w:left w:val="nil"/>
              <w:bottom w:val="single" w:sz="4" w:space="0" w:color="auto"/>
              <w:right w:val="single" w:sz="4" w:space="0" w:color="auto"/>
            </w:tcBorders>
            <w:shd w:val="clear" w:color="auto" w:fill="auto"/>
            <w:textDirection w:val="btLr"/>
            <w:vAlign w:val="bottom"/>
            <w:hideMark/>
          </w:tcPr>
          <w:p w14:paraId="300AB255"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Forage Fish Habitat</w:t>
            </w:r>
          </w:p>
        </w:tc>
        <w:tc>
          <w:tcPr>
            <w:tcW w:w="450" w:type="dxa"/>
            <w:tcBorders>
              <w:top w:val="nil"/>
              <w:left w:val="nil"/>
              <w:bottom w:val="single" w:sz="4" w:space="0" w:color="auto"/>
              <w:right w:val="single" w:sz="4" w:space="0" w:color="auto"/>
            </w:tcBorders>
            <w:shd w:val="clear" w:color="auto" w:fill="auto"/>
            <w:textDirection w:val="btLr"/>
            <w:vAlign w:val="bottom"/>
            <w:hideMark/>
          </w:tcPr>
          <w:p w14:paraId="2568339C"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Forest Cover</w:t>
            </w:r>
          </w:p>
        </w:tc>
        <w:tc>
          <w:tcPr>
            <w:tcW w:w="630" w:type="dxa"/>
            <w:tcBorders>
              <w:top w:val="nil"/>
              <w:left w:val="nil"/>
              <w:bottom w:val="single" w:sz="4" w:space="0" w:color="auto"/>
              <w:right w:val="single" w:sz="4" w:space="0" w:color="auto"/>
            </w:tcBorders>
            <w:shd w:val="clear" w:color="auto" w:fill="auto"/>
            <w:textDirection w:val="btLr"/>
            <w:vAlign w:val="bottom"/>
            <w:hideMark/>
          </w:tcPr>
          <w:p w14:paraId="29909B26"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Freshwater Riparian</w:t>
            </w:r>
          </w:p>
        </w:tc>
        <w:tc>
          <w:tcPr>
            <w:tcW w:w="540" w:type="dxa"/>
            <w:tcBorders>
              <w:top w:val="nil"/>
              <w:left w:val="nil"/>
              <w:bottom w:val="single" w:sz="4" w:space="0" w:color="auto"/>
              <w:right w:val="single" w:sz="4" w:space="0" w:color="auto"/>
            </w:tcBorders>
            <w:shd w:val="clear" w:color="auto" w:fill="auto"/>
            <w:textDirection w:val="btLr"/>
            <w:vAlign w:val="bottom"/>
            <w:hideMark/>
          </w:tcPr>
          <w:p w14:paraId="2B9CD27A"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Freshwater WQ</w:t>
            </w:r>
          </w:p>
        </w:tc>
        <w:tc>
          <w:tcPr>
            <w:tcW w:w="720" w:type="dxa"/>
            <w:tcBorders>
              <w:top w:val="nil"/>
              <w:left w:val="nil"/>
              <w:bottom w:val="single" w:sz="4" w:space="0" w:color="auto"/>
              <w:right w:val="single" w:sz="4" w:space="0" w:color="auto"/>
            </w:tcBorders>
            <w:shd w:val="clear" w:color="auto" w:fill="auto"/>
            <w:textDirection w:val="btLr"/>
            <w:vAlign w:val="bottom"/>
            <w:hideMark/>
          </w:tcPr>
          <w:p w14:paraId="3A436BB6"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Harvestable Shellfish</w:t>
            </w:r>
          </w:p>
        </w:tc>
        <w:tc>
          <w:tcPr>
            <w:tcW w:w="540" w:type="dxa"/>
            <w:tcBorders>
              <w:top w:val="nil"/>
              <w:left w:val="nil"/>
              <w:bottom w:val="single" w:sz="4" w:space="0" w:color="auto"/>
              <w:right w:val="single" w:sz="4" w:space="0" w:color="auto"/>
            </w:tcBorders>
            <w:shd w:val="clear" w:color="auto" w:fill="auto"/>
            <w:textDirection w:val="btLr"/>
            <w:vAlign w:val="bottom"/>
            <w:hideMark/>
          </w:tcPr>
          <w:p w14:paraId="4787F358"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Impervious Cover</w:t>
            </w:r>
          </w:p>
        </w:tc>
        <w:tc>
          <w:tcPr>
            <w:tcW w:w="450" w:type="dxa"/>
            <w:tcBorders>
              <w:top w:val="nil"/>
              <w:left w:val="nil"/>
              <w:bottom w:val="single" w:sz="4" w:space="0" w:color="auto"/>
              <w:right w:val="single" w:sz="4" w:space="0" w:color="auto"/>
            </w:tcBorders>
            <w:shd w:val="clear" w:color="auto" w:fill="auto"/>
            <w:textDirection w:val="btLr"/>
            <w:vAlign w:val="bottom"/>
            <w:hideMark/>
          </w:tcPr>
          <w:p w14:paraId="458F42B9"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Land Cover</w:t>
            </w:r>
          </w:p>
        </w:tc>
        <w:tc>
          <w:tcPr>
            <w:tcW w:w="540" w:type="dxa"/>
            <w:tcBorders>
              <w:top w:val="nil"/>
              <w:left w:val="nil"/>
              <w:bottom w:val="single" w:sz="4" w:space="0" w:color="auto"/>
              <w:right w:val="single" w:sz="4" w:space="0" w:color="auto"/>
            </w:tcBorders>
            <w:shd w:val="clear" w:color="auto" w:fill="auto"/>
            <w:textDirection w:val="btLr"/>
            <w:vAlign w:val="bottom"/>
            <w:hideMark/>
          </w:tcPr>
          <w:p w14:paraId="23FF7F30"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Marine Riparian</w:t>
            </w:r>
          </w:p>
        </w:tc>
        <w:tc>
          <w:tcPr>
            <w:tcW w:w="450" w:type="dxa"/>
            <w:tcBorders>
              <w:top w:val="nil"/>
              <w:left w:val="nil"/>
              <w:bottom w:val="single" w:sz="4" w:space="0" w:color="auto"/>
              <w:right w:val="single" w:sz="4" w:space="0" w:color="auto"/>
            </w:tcBorders>
            <w:shd w:val="clear" w:color="auto" w:fill="auto"/>
            <w:textDirection w:val="btLr"/>
            <w:vAlign w:val="bottom"/>
            <w:hideMark/>
          </w:tcPr>
          <w:p w14:paraId="1BBF0EF6"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Marine WQ</w:t>
            </w:r>
          </w:p>
        </w:tc>
        <w:tc>
          <w:tcPr>
            <w:tcW w:w="540" w:type="dxa"/>
            <w:tcBorders>
              <w:top w:val="nil"/>
              <w:left w:val="nil"/>
              <w:bottom w:val="single" w:sz="4" w:space="0" w:color="auto"/>
              <w:right w:val="single" w:sz="4" w:space="0" w:color="auto"/>
            </w:tcBorders>
            <w:shd w:val="clear" w:color="auto" w:fill="auto"/>
            <w:textDirection w:val="btLr"/>
            <w:vAlign w:val="bottom"/>
            <w:hideMark/>
          </w:tcPr>
          <w:p w14:paraId="0BADA187"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Native Salmon</w:t>
            </w:r>
          </w:p>
        </w:tc>
        <w:tc>
          <w:tcPr>
            <w:tcW w:w="540" w:type="dxa"/>
            <w:tcBorders>
              <w:top w:val="nil"/>
              <w:left w:val="nil"/>
              <w:bottom w:val="single" w:sz="4" w:space="0" w:color="auto"/>
              <w:right w:val="single" w:sz="4" w:space="0" w:color="auto"/>
            </w:tcBorders>
            <w:shd w:val="clear" w:color="auto" w:fill="auto"/>
            <w:textDirection w:val="btLr"/>
            <w:vAlign w:val="bottom"/>
            <w:hideMark/>
          </w:tcPr>
          <w:p w14:paraId="1F1A6753"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OSS</w:t>
            </w:r>
          </w:p>
        </w:tc>
        <w:tc>
          <w:tcPr>
            <w:tcW w:w="450" w:type="dxa"/>
            <w:tcBorders>
              <w:top w:val="nil"/>
              <w:left w:val="nil"/>
              <w:bottom w:val="single" w:sz="4" w:space="0" w:color="auto"/>
              <w:right w:val="single" w:sz="4" w:space="0" w:color="auto"/>
            </w:tcBorders>
            <w:shd w:val="clear" w:color="auto" w:fill="auto"/>
            <w:textDirection w:val="btLr"/>
            <w:vAlign w:val="bottom"/>
            <w:hideMark/>
          </w:tcPr>
          <w:p w14:paraId="52FAA63B"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 xml:space="preserve">Oak Woodlands </w:t>
            </w:r>
          </w:p>
        </w:tc>
        <w:tc>
          <w:tcPr>
            <w:tcW w:w="450" w:type="dxa"/>
            <w:tcBorders>
              <w:top w:val="nil"/>
              <w:left w:val="nil"/>
              <w:bottom w:val="single" w:sz="4" w:space="0" w:color="auto"/>
              <w:right w:val="single" w:sz="4" w:space="0" w:color="auto"/>
            </w:tcBorders>
            <w:shd w:val="clear" w:color="auto" w:fill="auto"/>
            <w:textDirection w:val="btLr"/>
            <w:vAlign w:val="bottom"/>
            <w:hideMark/>
          </w:tcPr>
          <w:p w14:paraId="74C7FF6B"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Orca</w:t>
            </w:r>
          </w:p>
        </w:tc>
        <w:tc>
          <w:tcPr>
            <w:tcW w:w="720" w:type="dxa"/>
            <w:tcBorders>
              <w:top w:val="nil"/>
              <w:left w:val="nil"/>
              <w:bottom w:val="single" w:sz="4" w:space="0" w:color="auto"/>
              <w:right w:val="single" w:sz="4" w:space="0" w:color="auto"/>
            </w:tcBorders>
            <w:shd w:val="clear" w:color="auto" w:fill="auto"/>
            <w:textDirection w:val="btLr"/>
            <w:vAlign w:val="bottom"/>
            <w:hideMark/>
          </w:tcPr>
          <w:p w14:paraId="379EB1D8"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Shoreline Armoring</w:t>
            </w:r>
          </w:p>
        </w:tc>
        <w:tc>
          <w:tcPr>
            <w:tcW w:w="810" w:type="dxa"/>
            <w:tcBorders>
              <w:top w:val="nil"/>
              <w:left w:val="nil"/>
              <w:bottom w:val="single" w:sz="4" w:space="0" w:color="auto"/>
              <w:right w:val="single" w:sz="4" w:space="0" w:color="auto"/>
            </w:tcBorders>
            <w:shd w:val="clear" w:color="auto" w:fill="auto"/>
            <w:textDirection w:val="btLr"/>
            <w:vAlign w:val="bottom"/>
            <w:hideMark/>
          </w:tcPr>
          <w:p w14:paraId="5E197C9D"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Summer Stream Flows</w:t>
            </w:r>
          </w:p>
        </w:tc>
        <w:tc>
          <w:tcPr>
            <w:tcW w:w="720" w:type="dxa"/>
            <w:tcBorders>
              <w:top w:val="nil"/>
              <w:left w:val="nil"/>
              <w:bottom w:val="single" w:sz="4" w:space="0" w:color="auto"/>
              <w:right w:val="single" w:sz="4" w:space="0" w:color="auto"/>
            </w:tcBorders>
            <w:shd w:val="clear" w:color="auto" w:fill="auto"/>
            <w:textDirection w:val="btLr"/>
            <w:vAlign w:val="bottom"/>
            <w:hideMark/>
          </w:tcPr>
          <w:p w14:paraId="12CE8860" w14:textId="77777777" w:rsidR="00E70E21" w:rsidRPr="007C1896" w:rsidRDefault="00E70E21" w:rsidP="00E70E21">
            <w:pPr>
              <w:spacing w:after="0" w:line="240" w:lineRule="auto"/>
              <w:ind w:left="113" w:right="113"/>
              <w:rPr>
                <w:rFonts w:ascii="Calibri" w:eastAsia="Times New Roman" w:hAnsi="Calibri" w:cs="Times New Roman"/>
                <w:color w:val="000000"/>
              </w:rPr>
            </w:pPr>
            <w:r w:rsidRPr="007C1896">
              <w:rPr>
                <w:rFonts w:ascii="Calibri" w:eastAsia="Times New Roman" w:hAnsi="Calibri" w:cs="Times New Roman"/>
                <w:color w:val="000000"/>
              </w:rPr>
              <w:t>Swimming Beaches</w:t>
            </w:r>
          </w:p>
        </w:tc>
      </w:tr>
      <w:tr w:rsidR="00E70E21" w:rsidRPr="007C1896" w14:paraId="45089EF2" w14:textId="77777777" w:rsidTr="00E70E21">
        <w:trPr>
          <w:trHeight w:val="899"/>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325B36A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Housing &amp; Urban Areas</w:t>
            </w:r>
          </w:p>
        </w:tc>
        <w:tc>
          <w:tcPr>
            <w:tcW w:w="1452" w:type="dxa"/>
            <w:tcBorders>
              <w:top w:val="nil"/>
              <w:left w:val="nil"/>
              <w:bottom w:val="single" w:sz="4" w:space="0" w:color="auto"/>
              <w:right w:val="single" w:sz="4" w:space="0" w:color="auto"/>
            </w:tcBorders>
            <w:shd w:val="clear" w:color="auto" w:fill="auto"/>
            <w:vAlign w:val="bottom"/>
            <w:hideMark/>
          </w:tcPr>
          <w:p w14:paraId="704B566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01.1: Housing &amp; Urban Areas</w:t>
            </w:r>
          </w:p>
        </w:tc>
        <w:tc>
          <w:tcPr>
            <w:tcW w:w="1506" w:type="dxa"/>
            <w:tcBorders>
              <w:top w:val="nil"/>
              <w:left w:val="nil"/>
              <w:bottom w:val="single" w:sz="4" w:space="0" w:color="auto"/>
              <w:right w:val="single" w:sz="4" w:space="0" w:color="auto"/>
            </w:tcBorders>
            <w:shd w:val="clear" w:color="auto" w:fill="auto"/>
            <w:vAlign w:val="bottom"/>
            <w:hideMark/>
          </w:tcPr>
          <w:p w14:paraId="153E11F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T10.10: Housing &amp; Urban Areas</w:t>
            </w:r>
          </w:p>
        </w:tc>
        <w:tc>
          <w:tcPr>
            <w:tcW w:w="360" w:type="dxa"/>
            <w:tcBorders>
              <w:top w:val="nil"/>
              <w:left w:val="nil"/>
              <w:bottom w:val="single" w:sz="4" w:space="0" w:color="auto"/>
              <w:right w:val="single" w:sz="4" w:space="0" w:color="auto"/>
            </w:tcBorders>
            <w:shd w:val="clear" w:color="000000" w:fill="ED7D31"/>
            <w:vAlign w:val="bottom"/>
            <w:hideMark/>
          </w:tcPr>
          <w:p w14:paraId="09452B3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3D96E28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000000" w:fill="ED7D31"/>
            <w:vAlign w:val="bottom"/>
            <w:hideMark/>
          </w:tcPr>
          <w:p w14:paraId="607DF65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5B604D8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000000" w:fill="ED7D31"/>
            <w:vAlign w:val="bottom"/>
            <w:hideMark/>
          </w:tcPr>
          <w:p w14:paraId="188A4F4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0D0FB1C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2E24037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36A60D2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1B54577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0DACE54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3CE37A6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7DDAA29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479B91E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363852A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29C7E2C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7453CDC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000000" w:fill="ED7D31"/>
            <w:vAlign w:val="bottom"/>
            <w:hideMark/>
          </w:tcPr>
          <w:p w14:paraId="4E0A0AD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724E686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034CB006" w14:textId="77777777" w:rsidTr="00E70E21">
        <w:trPr>
          <w:trHeight w:val="143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76C68E3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Commercial &amp; Industrial Areas (Including Ports)</w:t>
            </w:r>
          </w:p>
        </w:tc>
        <w:tc>
          <w:tcPr>
            <w:tcW w:w="1452" w:type="dxa"/>
            <w:tcBorders>
              <w:top w:val="nil"/>
              <w:left w:val="nil"/>
              <w:bottom w:val="single" w:sz="4" w:space="0" w:color="auto"/>
              <w:right w:val="single" w:sz="4" w:space="0" w:color="auto"/>
            </w:tcBorders>
            <w:shd w:val="clear" w:color="auto" w:fill="auto"/>
            <w:vAlign w:val="bottom"/>
            <w:hideMark/>
          </w:tcPr>
          <w:p w14:paraId="3A4BC2A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01.2: Commercial &amp; Industrial Areas (Including Ports)</w:t>
            </w:r>
          </w:p>
        </w:tc>
        <w:tc>
          <w:tcPr>
            <w:tcW w:w="1506" w:type="dxa"/>
            <w:tcBorders>
              <w:top w:val="nil"/>
              <w:left w:val="nil"/>
              <w:bottom w:val="single" w:sz="4" w:space="0" w:color="auto"/>
              <w:right w:val="single" w:sz="4" w:space="0" w:color="auto"/>
            </w:tcBorders>
            <w:shd w:val="clear" w:color="auto" w:fill="auto"/>
            <w:vAlign w:val="bottom"/>
            <w:hideMark/>
          </w:tcPr>
          <w:p w14:paraId="0778654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T10.20: Commercial &amp; Industrial Areas</w:t>
            </w:r>
          </w:p>
        </w:tc>
        <w:tc>
          <w:tcPr>
            <w:tcW w:w="360" w:type="dxa"/>
            <w:tcBorders>
              <w:top w:val="nil"/>
              <w:left w:val="nil"/>
              <w:bottom w:val="single" w:sz="4" w:space="0" w:color="auto"/>
              <w:right w:val="single" w:sz="4" w:space="0" w:color="auto"/>
            </w:tcBorders>
            <w:shd w:val="clear" w:color="auto" w:fill="auto"/>
            <w:vAlign w:val="bottom"/>
            <w:hideMark/>
          </w:tcPr>
          <w:p w14:paraId="30D1328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648B21B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4898E1F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2C227A7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41C0A24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161EA4D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30A56E5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5586007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10CC329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04BE8E0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1D5B3F9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50A4562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4B8A1A7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0C27251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54C6007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4B0C1E9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2AFF108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162ACED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216F8884" w14:textId="77777777" w:rsidTr="00E70E21">
        <w:trPr>
          <w:trHeight w:val="89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30097AF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Tourism &amp; Recreation Areas</w:t>
            </w:r>
          </w:p>
        </w:tc>
        <w:tc>
          <w:tcPr>
            <w:tcW w:w="1452" w:type="dxa"/>
            <w:tcBorders>
              <w:top w:val="nil"/>
              <w:left w:val="nil"/>
              <w:bottom w:val="single" w:sz="4" w:space="0" w:color="auto"/>
              <w:right w:val="single" w:sz="4" w:space="0" w:color="auto"/>
            </w:tcBorders>
            <w:shd w:val="clear" w:color="auto" w:fill="auto"/>
            <w:vAlign w:val="bottom"/>
            <w:hideMark/>
          </w:tcPr>
          <w:p w14:paraId="76BF5D0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01.3: Tourism &amp; Recreation Areas</w:t>
            </w:r>
          </w:p>
        </w:tc>
        <w:tc>
          <w:tcPr>
            <w:tcW w:w="1506" w:type="dxa"/>
            <w:tcBorders>
              <w:top w:val="nil"/>
              <w:left w:val="nil"/>
              <w:bottom w:val="single" w:sz="4" w:space="0" w:color="auto"/>
              <w:right w:val="single" w:sz="4" w:space="0" w:color="auto"/>
            </w:tcBorders>
            <w:shd w:val="clear" w:color="auto" w:fill="auto"/>
            <w:vAlign w:val="bottom"/>
            <w:hideMark/>
          </w:tcPr>
          <w:p w14:paraId="2661AE3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T10.30: Tourism &amp; Recreation Areas</w:t>
            </w:r>
          </w:p>
        </w:tc>
        <w:tc>
          <w:tcPr>
            <w:tcW w:w="360" w:type="dxa"/>
            <w:tcBorders>
              <w:top w:val="nil"/>
              <w:left w:val="nil"/>
              <w:bottom w:val="single" w:sz="4" w:space="0" w:color="auto"/>
              <w:right w:val="single" w:sz="4" w:space="0" w:color="auto"/>
            </w:tcBorders>
            <w:shd w:val="clear" w:color="auto" w:fill="auto"/>
            <w:vAlign w:val="bottom"/>
            <w:hideMark/>
          </w:tcPr>
          <w:p w14:paraId="0C653C7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22CC60F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15B0BA2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37E121A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52D5278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565A962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6C3E1DE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260EA77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1B3BA46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5A1EB5E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6735E28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1940D71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6788A36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7FF2D2D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21900D3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2E5832A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089CF11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07D8C0F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47990FE9" w14:textId="77777777" w:rsidTr="00E70E21">
        <w:trPr>
          <w:trHeight w:val="1061"/>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4ED5000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Annual &amp; Perennial Non-Timber Crops</w:t>
            </w:r>
          </w:p>
        </w:tc>
        <w:tc>
          <w:tcPr>
            <w:tcW w:w="1452" w:type="dxa"/>
            <w:tcBorders>
              <w:top w:val="nil"/>
              <w:left w:val="nil"/>
              <w:bottom w:val="single" w:sz="4" w:space="0" w:color="auto"/>
              <w:right w:val="single" w:sz="4" w:space="0" w:color="auto"/>
            </w:tcBorders>
            <w:shd w:val="clear" w:color="auto" w:fill="auto"/>
            <w:vAlign w:val="bottom"/>
            <w:hideMark/>
          </w:tcPr>
          <w:p w14:paraId="5C6FD33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02.1: Annual &amp; Perennial Non-Timber Crops</w:t>
            </w:r>
          </w:p>
        </w:tc>
        <w:tc>
          <w:tcPr>
            <w:tcW w:w="1506" w:type="dxa"/>
            <w:tcBorders>
              <w:top w:val="nil"/>
              <w:left w:val="nil"/>
              <w:bottom w:val="single" w:sz="4" w:space="0" w:color="auto"/>
              <w:right w:val="single" w:sz="4" w:space="0" w:color="auto"/>
            </w:tcBorders>
            <w:shd w:val="clear" w:color="auto" w:fill="auto"/>
            <w:vAlign w:val="bottom"/>
            <w:hideMark/>
          </w:tcPr>
          <w:p w14:paraId="4907567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T20.10: Annual &amp; Perennial Non-Timber Crops</w:t>
            </w:r>
          </w:p>
        </w:tc>
        <w:tc>
          <w:tcPr>
            <w:tcW w:w="360" w:type="dxa"/>
            <w:tcBorders>
              <w:top w:val="nil"/>
              <w:left w:val="nil"/>
              <w:bottom w:val="single" w:sz="4" w:space="0" w:color="auto"/>
              <w:right w:val="single" w:sz="4" w:space="0" w:color="auto"/>
            </w:tcBorders>
            <w:shd w:val="clear" w:color="auto" w:fill="auto"/>
            <w:vAlign w:val="bottom"/>
            <w:hideMark/>
          </w:tcPr>
          <w:p w14:paraId="398D4A3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7C649C7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3AD3201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508358F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59F9D00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5FAF835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6B4FCEF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6FC4CD4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6C04D38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1033795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21C311B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538A7C4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02CEACD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4DC9E0B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54BF9FA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565DD21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6850B9A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7BF02A7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6290BDEC" w14:textId="77777777" w:rsidTr="00E70E21">
        <w:trPr>
          <w:trHeight w:val="8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560435F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Wood &amp; Pulp Plantations</w:t>
            </w:r>
          </w:p>
        </w:tc>
        <w:tc>
          <w:tcPr>
            <w:tcW w:w="1452" w:type="dxa"/>
            <w:tcBorders>
              <w:top w:val="nil"/>
              <w:left w:val="nil"/>
              <w:bottom w:val="single" w:sz="4" w:space="0" w:color="auto"/>
              <w:right w:val="single" w:sz="4" w:space="0" w:color="auto"/>
            </w:tcBorders>
            <w:shd w:val="clear" w:color="auto" w:fill="auto"/>
            <w:vAlign w:val="bottom"/>
            <w:hideMark/>
          </w:tcPr>
          <w:p w14:paraId="7A97E44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02.2: Wood &amp; Pulp Plantations</w:t>
            </w:r>
          </w:p>
        </w:tc>
        <w:tc>
          <w:tcPr>
            <w:tcW w:w="1506" w:type="dxa"/>
            <w:tcBorders>
              <w:top w:val="nil"/>
              <w:left w:val="nil"/>
              <w:bottom w:val="single" w:sz="4" w:space="0" w:color="auto"/>
              <w:right w:val="single" w:sz="4" w:space="0" w:color="auto"/>
            </w:tcBorders>
            <w:shd w:val="clear" w:color="auto" w:fill="auto"/>
            <w:vAlign w:val="bottom"/>
            <w:hideMark/>
          </w:tcPr>
          <w:p w14:paraId="301E636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T20.30: Wood &amp; Pulp Plantations</w:t>
            </w:r>
          </w:p>
        </w:tc>
        <w:tc>
          <w:tcPr>
            <w:tcW w:w="360" w:type="dxa"/>
            <w:tcBorders>
              <w:top w:val="nil"/>
              <w:left w:val="nil"/>
              <w:bottom w:val="single" w:sz="4" w:space="0" w:color="auto"/>
              <w:right w:val="single" w:sz="4" w:space="0" w:color="auto"/>
            </w:tcBorders>
            <w:shd w:val="clear" w:color="auto" w:fill="auto"/>
            <w:vAlign w:val="bottom"/>
            <w:hideMark/>
          </w:tcPr>
          <w:p w14:paraId="18D8ED0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550A8B6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1093929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086A807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78CF537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44C2985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785BD2D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75B5797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4E02D7E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5E20850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209BBFB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1216EAC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143ACF6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2F348CB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0E066B6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2753D12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558B5A2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5E0E383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715166EC" w14:textId="77777777" w:rsidTr="00E70E21">
        <w:trPr>
          <w:trHeight w:val="120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65D2FC4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lastRenderedPageBreak/>
              <w:t>Livestock Farming &amp; Ranching</w:t>
            </w:r>
          </w:p>
        </w:tc>
        <w:tc>
          <w:tcPr>
            <w:tcW w:w="1452" w:type="dxa"/>
            <w:tcBorders>
              <w:top w:val="nil"/>
              <w:left w:val="nil"/>
              <w:bottom w:val="single" w:sz="4" w:space="0" w:color="auto"/>
              <w:right w:val="single" w:sz="4" w:space="0" w:color="auto"/>
            </w:tcBorders>
            <w:shd w:val="clear" w:color="auto" w:fill="auto"/>
            <w:vAlign w:val="bottom"/>
            <w:hideMark/>
          </w:tcPr>
          <w:p w14:paraId="6A25C93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02.3: Livestock Farming &amp; Ranching</w:t>
            </w:r>
          </w:p>
        </w:tc>
        <w:tc>
          <w:tcPr>
            <w:tcW w:w="1506" w:type="dxa"/>
            <w:tcBorders>
              <w:top w:val="nil"/>
              <w:left w:val="nil"/>
              <w:bottom w:val="single" w:sz="4" w:space="0" w:color="auto"/>
              <w:right w:val="single" w:sz="4" w:space="0" w:color="auto"/>
            </w:tcBorders>
            <w:shd w:val="clear" w:color="auto" w:fill="auto"/>
            <w:vAlign w:val="bottom"/>
            <w:hideMark/>
          </w:tcPr>
          <w:p w14:paraId="46A572D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T20.40: Livestock Farming &amp; Ranching</w:t>
            </w:r>
          </w:p>
        </w:tc>
        <w:tc>
          <w:tcPr>
            <w:tcW w:w="360" w:type="dxa"/>
            <w:tcBorders>
              <w:top w:val="nil"/>
              <w:left w:val="nil"/>
              <w:bottom w:val="single" w:sz="4" w:space="0" w:color="auto"/>
              <w:right w:val="single" w:sz="4" w:space="0" w:color="auto"/>
            </w:tcBorders>
            <w:shd w:val="clear" w:color="auto" w:fill="auto"/>
            <w:vAlign w:val="bottom"/>
            <w:hideMark/>
          </w:tcPr>
          <w:p w14:paraId="5433617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5230123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1938847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283F1FC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18B1E40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7B852A1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3EABCC5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5FCB946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200908F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15AA960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4C4A1BE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521E325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6B7DBB8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5190CD7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3B262AF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424B011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52750A5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6F1AC70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4A9F95A4" w14:textId="77777777" w:rsidTr="00E70E21">
        <w:trPr>
          <w:trHeight w:val="935"/>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5AE66BC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Roads &amp; Railroads (Including Culverts)</w:t>
            </w:r>
          </w:p>
        </w:tc>
        <w:tc>
          <w:tcPr>
            <w:tcW w:w="1452" w:type="dxa"/>
            <w:tcBorders>
              <w:top w:val="nil"/>
              <w:left w:val="nil"/>
              <w:bottom w:val="single" w:sz="4" w:space="0" w:color="auto"/>
              <w:right w:val="single" w:sz="4" w:space="0" w:color="auto"/>
            </w:tcBorders>
            <w:shd w:val="clear" w:color="auto" w:fill="auto"/>
            <w:vAlign w:val="bottom"/>
            <w:hideMark/>
          </w:tcPr>
          <w:p w14:paraId="54C1E83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04.1: Roads &amp; Railroads (Including Culverts)</w:t>
            </w:r>
          </w:p>
        </w:tc>
        <w:tc>
          <w:tcPr>
            <w:tcW w:w="1506" w:type="dxa"/>
            <w:tcBorders>
              <w:top w:val="nil"/>
              <w:left w:val="nil"/>
              <w:bottom w:val="single" w:sz="4" w:space="0" w:color="auto"/>
              <w:right w:val="single" w:sz="4" w:space="0" w:color="auto"/>
            </w:tcBorders>
            <w:shd w:val="clear" w:color="auto" w:fill="auto"/>
            <w:vAlign w:val="bottom"/>
            <w:hideMark/>
          </w:tcPr>
          <w:p w14:paraId="2DF5886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T40.10: Roads &amp; Railroads</w:t>
            </w:r>
          </w:p>
        </w:tc>
        <w:tc>
          <w:tcPr>
            <w:tcW w:w="360" w:type="dxa"/>
            <w:tcBorders>
              <w:top w:val="nil"/>
              <w:left w:val="nil"/>
              <w:bottom w:val="single" w:sz="4" w:space="0" w:color="auto"/>
              <w:right w:val="single" w:sz="4" w:space="0" w:color="auto"/>
            </w:tcBorders>
            <w:shd w:val="clear" w:color="000000" w:fill="ED7D31"/>
            <w:vAlign w:val="bottom"/>
            <w:hideMark/>
          </w:tcPr>
          <w:p w14:paraId="3F7EA0C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77EA9F1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000000" w:fill="ED7D31"/>
            <w:vAlign w:val="bottom"/>
            <w:hideMark/>
          </w:tcPr>
          <w:p w14:paraId="7EE673B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69F3555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000000" w:fill="ED7D31"/>
            <w:vAlign w:val="bottom"/>
            <w:hideMark/>
          </w:tcPr>
          <w:p w14:paraId="371E5E5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2316517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2A3F8FC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637CA24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3F6B8DB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1C275C6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2D0F94A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49C5E8D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488144D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223B88D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60FD363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6D157F7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000000" w:fill="ED7D31"/>
            <w:vAlign w:val="bottom"/>
            <w:hideMark/>
          </w:tcPr>
          <w:p w14:paraId="6CC908B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7760761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5914199F" w14:textId="77777777" w:rsidTr="00E70E21">
        <w:trPr>
          <w:trHeight w:val="80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673C987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Shipping Lanes and Dredged Waterways</w:t>
            </w:r>
          </w:p>
        </w:tc>
        <w:tc>
          <w:tcPr>
            <w:tcW w:w="1452" w:type="dxa"/>
            <w:tcBorders>
              <w:top w:val="nil"/>
              <w:left w:val="nil"/>
              <w:bottom w:val="single" w:sz="4" w:space="0" w:color="auto"/>
              <w:right w:val="single" w:sz="4" w:space="0" w:color="auto"/>
            </w:tcBorders>
            <w:shd w:val="clear" w:color="auto" w:fill="auto"/>
            <w:vAlign w:val="bottom"/>
            <w:hideMark/>
          </w:tcPr>
          <w:p w14:paraId="1AB19F3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04.3: Shipping Lanes and Dredged Waterways</w:t>
            </w:r>
          </w:p>
        </w:tc>
        <w:tc>
          <w:tcPr>
            <w:tcW w:w="1506" w:type="dxa"/>
            <w:tcBorders>
              <w:top w:val="nil"/>
              <w:left w:val="nil"/>
              <w:bottom w:val="single" w:sz="4" w:space="0" w:color="auto"/>
              <w:right w:val="single" w:sz="4" w:space="0" w:color="auto"/>
            </w:tcBorders>
            <w:shd w:val="clear" w:color="auto" w:fill="auto"/>
            <w:vAlign w:val="bottom"/>
            <w:hideMark/>
          </w:tcPr>
          <w:p w14:paraId="2B35CB3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T40.30: Shipping Lanes</w:t>
            </w:r>
          </w:p>
        </w:tc>
        <w:tc>
          <w:tcPr>
            <w:tcW w:w="360" w:type="dxa"/>
            <w:tcBorders>
              <w:top w:val="nil"/>
              <w:left w:val="nil"/>
              <w:bottom w:val="single" w:sz="4" w:space="0" w:color="auto"/>
              <w:right w:val="single" w:sz="4" w:space="0" w:color="auto"/>
            </w:tcBorders>
            <w:shd w:val="clear" w:color="000000" w:fill="ED7D31"/>
            <w:vAlign w:val="bottom"/>
            <w:hideMark/>
          </w:tcPr>
          <w:p w14:paraId="49C296D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49225C8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4643678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22E7756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248F64E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2C1DE6A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12256EA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4111DC8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6546BA5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65670FB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3DD1D7B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364D35D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4B18237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781597A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6F687C9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1680CEA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6683B04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650DAF8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7BC76A1A" w14:textId="77777777" w:rsidTr="00E70E21">
        <w:trPr>
          <w:trHeight w:val="62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7327D67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Abstraction of surface water</w:t>
            </w:r>
          </w:p>
        </w:tc>
        <w:tc>
          <w:tcPr>
            <w:tcW w:w="1452" w:type="dxa"/>
            <w:tcBorders>
              <w:top w:val="nil"/>
              <w:left w:val="nil"/>
              <w:bottom w:val="single" w:sz="4" w:space="0" w:color="auto"/>
              <w:right w:val="single" w:sz="4" w:space="0" w:color="auto"/>
            </w:tcBorders>
            <w:shd w:val="clear" w:color="auto" w:fill="auto"/>
            <w:vAlign w:val="bottom"/>
            <w:hideMark/>
          </w:tcPr>
          <w:p w14:paraId="5A5B1D5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07.2.1: Abstraction of surface water</w:t>
            </w:r>
          </w:p>
        </w:tc>
        <w:tc>
          <w:tcPr>
            <w:tcW w:w="1506" w:type="dxa"/>
            <w:tcBorders>
              <w:top w:val="nil"/>
              <w:left w:val="nil"/>
              <w:bottom w:val="single" w:sz="4" w:space="0" w:color="auto"/>
              <w:right w:val="single" w:sz="4" w:space="0" w:color="auto"/>
            </w:tcBorders>
            <w:shd w:val="clear" w:color="auto" w:fill="auto"/>
            <w:vAlign w:val="bottom"/>
            <w:hideMark/>
          </w:tcPr>
          <w:p w14:paraId="7481A6E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T70.20: Dams &amp; Water Management/Use</w:t>
            </w:r>
          </w:p>
        </w:tc>
        <w:tc>
          <w:tcPr>
            <w:tcW w:w="360" w:type="dxa"/>
            <w:tcBorders>
              <w:top w:val="nil"/>
              <w:left w:val="nil"/>
              <w:bottom w:val="single" w:sz="4" w:space="0" w:color="auto"/>
              <w:right w:val="single" w:sz="4" w:space="0" w:color="auto"/>
            </w:tcBorders>
            <w:shd w:val="clear" w:color="auto" w:fill="auto"/>
            <w:vAlign w:val="bottom"/>
            <w:hideMark/>
          </w:tcPr>
          <w:p w14:paraId="2CEC3E3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7E1B7F3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7FED87B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567CBD8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0A7F4DC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50D81A3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0D73B0E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2A55D1A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3959B23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4115BB3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79BB4C3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2168F9F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534AFE0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7EFF54C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2465915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6785B87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1002320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3F4601F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163E5E2D" w14:textId="77777777" w:rsidTr="00E70E21">
        <w:trPr>
          <w:trHeight w:val="269"/>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2C3E58D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Abstraction of ground water</w:t>
            </w:r>
          </w:p>
        </w:tc>
        <w:tc>
          <w:tcPr>
            <w:tcW w:w="1452" w:type="dxa"/>
            <w:tcBorders>
              <w:top w:val="nil"/>
              <w:left w:val="nil"/>
              <w:bottom w:val="single" w:sz="4" w:space="0" w:color="auto"/>
              <w:right w:val="single" w:sz="4" w:space="0" w:color="auto"/>
            </w:tcBorders>
            <w:shd w:val="clear" w:color="auto" w:fill="auto"/>
            <w:vAlign w:val="bottom"/>
            <w:hideMark/>
          </w:tcPr>
          <w:p w14:paraId="6EE1F6A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07.2.2: Abstraction of ground water</w:t>
            </w:r>
          </w:p>
        </w:tc>
        <w:tc>
          <w:tcPr>
            <w:tcW w:w="1506" w:type="dxa"/>
            <w:tcBorders>
              <w:top w:val="nil"/>
              <w:left w:val="nil"/>
              <w:bottom w:val="single" w:sz="4" w:space="0" w:color="auto"/>
              <w:right w:val="single" w:sz="4" w:space="0" w:color="auto"/>
            </w:tcBorders>
            <w:shd w:val="clear" w:color="auto" w:fill="auto"/>
            <w:vAlign w:val="bottom"/>
            <w:hideMark/>
          </w:tcPr>
          <w:p w14:paraId="6DC075B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T70.20: Dams &amp; Water Management/Use</w:t>
            </w:r>
          </w:p>
        </w:tc>
        <w:tc>
          <w:tcPr>
            <w:tcW w:w="360" w:type="dxa"/>
            <w:tcBorders>
              <w:top w:val="nil"/>
              <w:left w:val="nil"/>
              <w:bottom w:val="single" w:sz="4" w:space="0" w:color="auto"/>
              <w:right w:val="single" w:sz="4" w:space="0" w:color="auto"/>
            </w:tcBorders>
            <w:shd w:val="clear" w:color="auto" w:fill="auto"/>
            <w:vAlign w:val="bottom"/>
            <w:hideMark/>
          </w:tcPr>
          <w:p w14:paraId="0B71539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15A0747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479FC97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580015A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164C399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054ACC2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2186834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4068155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7407617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5A32777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5D1E898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778E730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2EDED65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35D18D8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432EC67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7481727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25111CE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1C8E32C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50A79590" w14:textId="77777777" w:rsidTr="00E70E21">
        <w:trPr>
          <w:trHeight w:val="35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71AF971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Dams</w:t>
            </w:r>
          </w:p>
        </w:tc>
        <w:tc>
          <w:tcPr>
            <w:tcW w:w="1452" w:type="dxa"/>
            <w:tcBorders>
              <w:top w:val="nil"/>
              <w:left w:val="nil"/>
              <w:bottom w:val="single" w:sz="4" w:space="0" w:color="auto"/>
              <w:right w:val="single" w:sz="4" w:space="0" w:color="auto"/>
            </w:tcBorders>
            <w:shd w:val="clear" w:color="auto" w:fill="auto"/>
            <w:vAlign w:val="bottom"/>
            <w:hideMark/>
          </w:tcPr>
          <w:p w14:paraId="78438C9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07.2.3: Dams</w:t>
            </w:r>
          </w:p>
        </w:tc>
        <w:tc>
          <w:tcPr>
            <w:tcW w:w="1506" w:type="dxa"/>
            <w:tcBorders>
              <w:top w:val="nil"/>
              <w:left w:val="nil"/>
              <w:bottom w:val="single" w:sz="4" w:space="0" w:color="auto"/>
              <w:right w:val="single" w:sz="4" w:space="0" w:color="auto"/>
            </w:tcBorders>
            <w:shd w:val="clear" w:color="auto" w:fill="auto"/>
            <w:vAlign w:val="bottom"/>
            <w:hideMark/>
          </w:tcPr>
          <w:p w14:paraId="527665A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T70.20: Dams &amp; Water Management/Use</w:t>
            </w:r>
          </w:p>
        </w:tc>
        <w:tc>
          <w:tcPr>
            <w:tcW w:w="360" w:type="dxa"/>
            <w:tcBorders>
              <w:top w:val="nil"/>
              <w:left w:val="nil"/>
              <w:bottom w:val="single" w:sz="4" w:space="0" w:color="auto"/>
              <w:right w:val="single" w:sz="4" w:space="0" w:color="auto"/>
            </w:tcBorders>
            <w:shd w:val="clear" w:color="000000" w:fill="ED7D31"/>
            <w:vAlign w:val="bottom"/>
            <w:hideMark/>
          </w:tcPr>
          <w:p w14:paraId="2325E8C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005F9D2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6F1C442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2A701A8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29B5E33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41DB783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1B9FED1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6158332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0FAFFD5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6D96009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2EA082F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5ECDBBF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15B0B1F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36A85C9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73F61E5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43F6127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522F67F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7FB4A84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6C39F29A" w14:textId="77777777" w:rsidTr="00E70E21">
        <w:trPr>
          <w:trHeight w:val="77"/>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482187F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xml:space="preserve">Freshwater Levees, </w:t>
            </w:r>
            <w:r w:rsidRPr="007C1896">
              <w:rPr>
                <w:rFonts w:ascii="Calibri" w:eastAsia="Times New Roman" w:hAnsi="Calibri" w:cs="Times New Roman"/>
                <w:color w:val="000000"/>
              </w:rPr>
              <w:lastRenderedPageBreak/>
              <w:t>Floodgates, Tidegates</w:t>
            </w:r>
          </w:p>
        </w:tc>
        <w:tc>
          <w:tcPr>
            <w:tcW w:w="1452" w:type="dxa"/>
            <w:tcBorders>
              <w:top w:val="nil"/>
              <w:left w:val="nil"/>
              <w:bottom w:val="single" w:sz="4" w:space="0" w:color="auto"/>
              <w:right w:val="single" w:sz="4" w:space="0" w:color="auto"/>
            </w:tcBorders>
            <w:shd w:val="clear" w:color="auto" w:fill="auto"/>
            <w:vAlign w:val="bottom"/>
            <w:hideMark/>
          </w:tcPr>
          <w:p w14:paraId="4969A94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lastRenderedPageBreak/>
              <w:t xml:space="preserve">07.2.4: Freshwater </w:t>
            </w:r>
            <w:r w:rsidRPr="007C1896">
              <w:rPr>
                <w:rFonts w:ascii="Calibri" w:eastAsia="Times New Roman" w:hAnsi="Calibri" w:cs="Times New Roman"/>
                <w:color w:val="000000"/>
              </w:rPr>
              <w:lastRenderedPageBreak/>
              <w:t>Levees, Floodgates, Tidegates</w:t>
            </w:r>
          </w:p>
        </w:tc>
        <w:tc>
          <w:tcPr>
            <w:tcW w:w="1506" w:type="dxa"/>
            <w:tcBorders>
              <w:top w:val="nil"/>
              <w:left w:val="nil"/>
              <w:bottom w:val="single" w:sz="4" w:space="0" w:color="auto"/>
              <w:right w:val="single" w:sz="4" w:space="0" w:color="auto"/>
            </w:tcBorders>
            <w:shd w:val="clear" w:color="auto" w:fill="auto"/>
            <w:vAlign w:val="bottom"/>
            <w:hideMark/>
          </w:tcPr>
          <w:p w14:paraId="758F07F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lastRenderedPageBreak/>
              <w:t xml:space="preserve">T70.20: Dams &amp; Water </w:t>
            </w:r>
            <w:r w:rsidRPr="007C1896">
              <w:rPr>
                <w:rFonts w:ascii="Calibri" w:eastAsia="Times New Roman" w:hAnsi="Calibri" w:cs="Times New Roman"/>
                <w:color w:val="000000"/>
              </w:rPr>
              <w:lastRenderedPageBreak/>
              <w:t>Management/Use</w:t>
            </w:r>
          </w:p>
        </w:tc>
        <w:tc>
          <w:tcPr>
            <w:tcW w:w="360" w:type="dxa"/>
            <w:tcBorders>
              <w:top w:val="nil"/>
              <w:left w:val="nil"/>
              <w:bottom w:val="single" w:sz="4" w:space="0" w:color="auto"/>
              <w:right w:val="single" w:sz="4" w:space="0" w:color="auto"/>
            </w:tcBorders>
            <w:shd w:val="clear" w:color="000000" w:fill="ED7D31"/>
            <w:vAlign w:val="bottom"/>
            <w:hideMark/>
          </w:tcPr>
          <w:p w14:paraId="0B326BE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lastRenderedPageBreak/>
              <w:t> </w:t>
            </w:r>
          </w:p>
        </w:tc>
        <w:tc>
          <w:tcPr>
            <w:tcW w:w="450" w:type="dxa"/>
            <w:tcBorders>
              <w:top w:val="nil"/>
              <w:left w:val="nil"/>
              <w:bottom w:val="single" w:sz="4" w:space="0" w:color="auto"/>
              <w:right w:val="single" w:sz="4" w:space="0" w:color="auto"/>
            </w:tcBorders>
            <w:shd w:val="clear" w:color="000000" w:fill="ED7D31"/>
            <w:vAlign w:val="bottom"/>
            <w:hideMark/>
          </w:tcPr>
          <w:p w14:paraId="28621B1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56B7091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46E4A43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000000" w:fill="ED7D31"/>
            <w:vAlign w:val="bottom"/>
            <w:hideMark/>
          </w:tcPr>
          <w:p w14:paraId="4C7D1BF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76A7875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1400B51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7A2FA66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110F3A4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103B514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4EAA771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7CA8C80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720EF10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4242CCF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17BD73E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5A140E6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000000" w:fill="ED7D31"/>
            <w:vAlign w:val="bottom"/>
            <w:hideMark/>
          </w:tcPr>
          <w:p w14:paraId="4E7A5D9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476441B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5466035D" w14:textId="77777777" w:rsidTr="00E70E21">
        <w:trPr>
          <w:trHeight w:val="17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061CF81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Marine Levees, Floodgates, Tidegates</w:t>
            </w:r>
          </w:p>
        </w:tc>
        <w:tc>
          <w:tcPr>
            <w:tcW w:w="1452" w:type="dxa"/>
            <w:tcBorders>
              <w:top w:val="nil"/>
              <w:left w:val="nil"/>
              <w:bottom w:val="single" w:sz="4" w:space="0" w:color="auto"/>
              <w:right w:val="single" w:sz="4" w:space="0" w:color="auto"/>
            </w:tcBorders>
            <w:shd w:val="clear" w:color="auto" w:fill="auto"/>
            <w:vAlign w:val="bottom"/>
            <w:hideMark/>
          </w:tcPr>
          <w:p w14:paraId="2065F41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07.2.5: Marine Levees, Floodgates, Tidegates</w:t>
            </w:r>
          </w:p>
        </w:tc>
        <w:tc>
          <w:tcPr>
            <w:tcW w:w="1506" w:type="dxa"/>
            <w:tcBorders>
              <w:top w:val="nil"/>
              <w:left w:val="nil"/>
              <w:bottom w:val="single" w:sz="4" w:space="0" w:color="auto"/>
              <w:right w:val="single" w:sz="4" w:space="0" w:color="auto"/>
            </w:tcBorders>
            <w:shd w:val="clear" w:color="auto" w:fill="auto"/>
            <w:vAlign w:val="bottom"/>
            <w:hideMark/>
          </w:tcPr>
          <w:p w14:paraId="0252655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T70.20: Dams &amp; Water Management/Use</w:t>
            </w:r>
          </w:p>
        </w:tc>
        <w:tc>
          <w:tcPr>
            <w:tcW w:w="360" w:type="dxa"/>
            <w:tcBorders>
              <w:top w:val="nil"/>
              <w:left w:val="nil"/>
              <w:bottom w:val="single" w:sz="4" w:space="0" w:color="auto"/>
              <w:right w:val="single" w:sz="4" w:space="0" w:color="auto"/>
            </w:tcBorders>
            <w:shd w:val="clear" w:color="000000" w:fill="ED7D31"/>
            <w:vAlign w:val="bottom"/>
            <w:hideMark/>
          </w:tcPr>
          <w:p w14:paraId="2E0555B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1DB5913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000000" w:fill="ED7D31"/>
            <w:vAlign w:val="bottom"/>
            <w:hideMark/>
          </w:tcPr>
          <w:p w14:paraId="5991C08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4792EB8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6A63867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072B7CC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2A5F5C9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2770462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1940279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4D3B115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6E14EF6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3431101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594436A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28F2544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739801E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298EF50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6C5A16C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5728D45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1D8ADB7D" w14:textId="77777777" w:rsidTr="00E70E21">
        <w:trPr>
          <w:trHeight w:val="431"/>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689BDBC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Freshwater shoreline infrastructure</w:t>
            </w:r>
          </w:p>
        </w:tc>
        <w:tc>
          <w:tcPr>
            <w:tcW w:w="1452" w:type="dxa"/>
            <w:tcBorders>
              <w:top w:val="nil"/>
              <w:left w:val="nil"/>
              <w:bottom w:val="single" w:sz="4" w:space="0" w:color="auto"/>
              <w:right w:val="single" w:sz="4" w:space="0" w:color="auto"/>
            </w:tcBorders>
            <w:shd w:val="clear" w:color="auto" w:fill="auto"/>
            <w:vAlign w:val="bottom"/>
            <w:hideMark/>
          </w:tcPr>
          <w:p w14:paraId="3E4A543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07.3: Freshwater shoreline infrastructure</w:t>
            </w:r>
          </w:p>
        </w:tc>
        <w:tc>
          <w:tcPr>
            <w:tcW w:w="1506" w:type="dxa"/>
            <w:tcBorders>
              <w:top w:val="nil"/>
              <w:left w:val="nil"/>
              <w:bottom w:val="single" w:sz="4" w:space="0" w:color="auto"/>
              <w:right w:val="single" w:sz="4" w:space="0" w:color="auto"/>
            </w:tcBorders>
            <w:shd w:val="clear" w:color="auto" w:fill="auto"/>
            <w:vAlign w:val="bottom"/>
            <w:hideMark/>
          </w:tcPr>
          <w:p w14:paraId="448D279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T70.30: Other Ecosystem Modifications</w:t>
            </w:r>
          </w:p>
        </w:tc>
        <w:tc>
          <w:tcPr>
            <w:tcW w:w="360" w:type="dxa"/>
            <w:tcBorders>
              <w:top w:val="nil"/>
              <w:left w:val="nil"/>
              <w:bottom w:val="single" w:sz="4" w:space="0" w:color="auto"/>
              <w:right w:val="single" w:sz="4" w:space="0" w:color="auto"/>
            </w:tcBorders>
            <w:shd w:val="clear" w:color="000000" w:fill="ED7D31"/>
            <w:vAlign w:val="bottom"/>
            <w:hideMark/>
          </w:tcPr>
          <w:p w14:paraId="7635418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7420625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19696C5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7C6EEDA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469FC62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7A82BAA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043ED69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79BAE42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11D0683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033AE61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059AC21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1D15119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4C5012B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36EB4E7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7C2DE1C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073B722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0E95FF9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2B7AB55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7441C056" w14:textId="77777777" w:rsidTr="00E70E21">
        <w:trPr>
          <w:trHeight w:val="422"/>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731315E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Marine shoreline infrastructure</w:t>
            </w:r>
          </w:p>
        </w:tc>
        <w:tc>
          <w:tcPr>
            <w:tcW w:w="1452" w:type="dxa"/>
            <w:tcBorders>
              <w:top w:val="nil"/>
              <w:left w:val="nil"/>
              <w:bottom w:val="single" w:sz="4" w:space="0" w:color="auto"/>
              <w:right w:val="single" w:sz="4" w:space="0" w:color="auto"/>
            </w:tcBorders>
            <w:shd w:val="clear" w:color="auto" w:fill="auto"/>
            <w:vAlign w:val="bottom"/>
            <w:hideMark/>
          </w:tcPr>
          <w:p w14:paraId="3E3D75A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07.4: Marine shoreline infrastructure</w:t>
            </w:r>
          </w:p>
        </w:tc>
        <w:tc>
          <w:tcPr>
            <w:tcW w:w="1506" w:type="dxa"/>
            <w:tcBorders>
              <w:top w:val="nil"/>
              <w:left w:val="nil"/>
              <w:bottom w:val="single" w:sz="4" w:space="0" w:color="auto"/>
              <w:right w:val="single" w:sz="4" w:space="0" w:color="auto"/>
            </w:tcBorders>
            <w:shd w:val="clear" w:color="auto" w:fill="auto"/>
            <w:vAlign w:val="bottom"/>
            <w:hideMark/>
          </w:tcPr>
          <w:p w14:paraId="56D6421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T70.30: Other Ecosystem Modifications</w:t>
            </w:r>
          </w:p>
        </w:tc>
        <w:tc>
          <w:tcPr>
            <w:tcW w:w="360" w:type="dxa"/>
            <w:tcBorders>
              <w:top w:val="nil"/>
              <w:left w:val="nil"/>
              <w:bottom w:val="single" w:sz="4" w:space="0" w:color="auto"/>
              <w:right w:val="single" w:sz="4" w:space="0" w:color="auto"/>
            </w:tcBorders>
            <w:shd w:val="clear" w:color="000000" w:fill="ED7D31"/>
            <w:vAlign w:val="bottom"/>
            <w:hideMark/>
          </w:tcPr>
          <w:p w14:paraId="74B1F9F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6AD0615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000000" w:fill="ED7D31"/>
            <w:vAlign w:val="bottom"/>
            <w:hideMark/>
          </w:tcPr>
          <w:p w14:paraId="5733E96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7D8DEC4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48AF6F0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0D42978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4EBC4D9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28FA80F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2D33348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207368A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068386D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7ED7F52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3DE6168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3EFB9FB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562C46A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7B9EDCC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1888273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3A5544E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308DE662" w14:textId="77777777" w:rsidTr="00E70E21">
        <w:trPr>
          <w:trHeight w:val="593"/>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197CA2B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Sewer - Domestic &amp; Municipal Wastewater to Sewer</w:t>
            </w:r>
          </w:p>
        </w:tc>
        <w:tc>
          <w:tcPr>
            <w:tcW w:w="1452" w:type="dxa"/>
            <w:tcBorders>
              <w:top w:val="nil"/>
              <w:left w:val="nil"/>
              <w:bottom w:val="single" w:sz="4" w:space="0" w:color="auto"/>
              <w:right w:val="single" w:sz="4" w:space="0" w:color="auto"/>
            </w:tcBorders>
            <w:shd w:val="clear" w:color="auto" w:fill="auto"/>
            <w:vAlign w:val="bottom"/>
            <w:hideMark/>
          </w:tcPr>
          <w:p w14:paraId="5D7A5F7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09.1.1.1: Domestic &amp; Municipal Wastewater to Sewer</w:t>
            </w:r>
          </w:p>
        </w:tc>
        <w:tc>
          <w:tcPr>
            <w:tcW w:w="1506" w:type="dxa"/>
            <w:tcBorders>
              <w:top w:val="nil"/>
              <w:left w:val="nil"/>
              <w:bottom w:val="single" w:sz="4" w:space="0" w:color="auto"/>
              <w:right w:val="single" w:sz="4" w:space="0" w:color="auto"/>
            </w:tcBorders>
            <w:shd w:val="clear" w:color="auto" w:fill="auto"/>
            <w:vAlign w:val="bottom"/>
            <w:hideMark/>
          </w:tcPr>
          <w:p w14:paraId="3AACC85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T91.10: Household Sewage &amp; Urban Waste Water</w:t>
            </w:r>
          </w:p>
        </w:tc>
        <w:tc>
          <w:tcPr>
            <w:tcW w:w="360" w:type="dxa"/>
            <w:tcBorders>
              <w:top w:val="nil"/>
              <w:left w:val="nil"/>
              <w:bottom w:val="single" w:sz="4" w:space="0" w:color="auto"/>
              <w:right w:val="single" w:sz="4" w:space="0" w:color="auto"/>
            </w:tcBorders>
            <w:shd w:val="clear" w:color="auto" w:fill="auto"/>
            <w:vAlign w:val="bottom"/>
            <w:hideMark/>
          </w:tcPr>
          <w:p w14:paraId="118EC4B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2D1C834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39E537D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299C5FB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6F11C2A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1766721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5032BC8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45779CC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18C5487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6378F6F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32A7020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4C05850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0ACD707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0660D9B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4C8D938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6E609B0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0B2802E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1903598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3C110544" w14:textId="77777777" w:rsidTr="00E70E21">
        <w:trPr>
          <w:trHeight w:val="8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4ECC17B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xml:space="preserve">OSS - Domestic and Commercial Wastewater to Onsite Sewage </w:t>
            </w:r>
            <w:r w:rsidRPr="007C1896">
              <w:rPr>
                <w:rFonts w:ascii="Calibri" w:eastAsia="Times New Roman" w:hAnsi="Calibri" w:cs="Times New Roman"/>
                <w:color w:val="000000"/>
              </w:rPr>
              <w:lastRenderedPageBreak/>
              <w:t>Systems (OSS)</w:t>
            </w:r>
          </w:p>
        </w:tc>
        <w:tc>
          <w:tcPr>
            <w:tcW w:w="1452" w:type="dxa"/>
            <w:tcBorders>
              <w:top w:val="nil"/>
              <w:left w:val="nil"/>
              <w:bottom w:val="single" w:sz="4" w:space="0" w:color="auto"/>
              <w:right w:val="single" w:sz="4" w:space="0" w:color="auto"/>
            </w:tcBorders>
            <w:shd w:val="clear" w:color="auto" w:fill="auto"/>
            <w:vAlign w:val="bottom"/>
            <w:hideMark/>
          </w:tcPr>
          <w:p w14:paraId="06B79B3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lastRenderedPageBreak/>
              <w:t xml:space="preserve">09.1.1.2: Domestic and Commercial Wastewater to Onsite Sewage </w:t>
            </w:r>
            <w:r w:rsidRPr="007C1896">
              <w:rPr>
                <w:rFonts w:ascii="Calibri" w:eastAsia="Times New Roman" w:hAnsi="Calibri" w:cs="Times New Roman"/>
                <w:color w:val="000000"/>
              </w:rPr>
              <w:lastRenderedPageBreak/>
              <w:t>Systems (OSS)</w:t>
            </w:r>
          </w:p>
        </w:tc>
        <w:tc>
          <w:tcPr>
            <w:tcW w:w="1506" w:type="dxa"/>
            <w:tcBorders>
              <w:top w:val="nil"/>
              <w:left w:val="nil"/>
              <w:bottom w:val="single" w:sz="4" w:space="0" w:color="auto"/>
              <w:right w:val="single" w:sz="4" w:space="0" w:color="auto"/>
            </w:tcBorders>
            <w:shd w:val="clear" w:color="auto" w:fill="auto"/>
            <w:vAlign w:val="bottom"/>
            <w:hideMark/>
          </w:tcPr>
          <w:p w14:paraId="4CCA092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lastRenderedPageBreak/>
              <w:t>T91.10: Household Sewage &amp; Urban Waste Water</w:t>
            </w:r>
          </w:p>
        </w:tc>
        <w:tc>
          <w:tcPr>
            <w:tcW w:w="360" w:type="dxa"/>
            <w:tcBorders>
              <w:top w:val="nil"/>
              <w:left w:val="nil"/>
              <w:bottom w:val="single" w:sz="4" w:space="0" w:color="auto"/>
              <w:right w:val="single" w:sz="4" w:space="0" w:color="auto"/>
            </w:tcBorders>
            <w:shd w:val="clear" w:color="auto" w:fill="auto"/>
            <w:vAlign w:val="bottom"/>
            <w:hideMark/>
          </w:tcPr>
          <w:p w14:paraId="7DCE399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6B85466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72EBB05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56D802D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37F1F63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587F0BA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1CEEA23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09D1F9B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5764A96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4BC2E34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0E95E9F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283E8EE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02FC7D9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2B6B15F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4636BE8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3D39614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5D556E6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317A4E0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7A96E3F7" w14:textId="77777777" w:rsidTr="00E70E21">
        <w:trPr>
          <w:trHeight w:val="62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7403D28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Runoff from residential and commercial lands</w:t>
            </w:r>
          </w:p>
        </w:tc>
        <w:tc>
          <w:tcPr>
            <w:tcW w:w="1452" w:type="dxa"/>
            <w:tcBorders>
              <w:top w:val="nil"/>
              <w:left w:val="nil"/>
              <w:bottom w:val="single" w:sz="4" w:space="0" w:color="auto"/>
              <w:right w:val="single" w:sz="4" w:space="0" w:color="auto"/>
            </w:tcBorders>
            <w:shd w:val="clear" w:color="auto" w:fill="auto"/>
            <w:vAlign w:val="bottom"/>
            <w:hideMark/>
          </w:tcPr>
          <w:p w14:paraId="51B144B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09.1.2: Runoff from residential and commercial lands</w:t>
            </w:r>
          </w:p>
        </w:tc>
        <w:tc>
          <w:tcPr>
            <w:tcW w:w="1506" w:type="dxa"/>
            <w:tcBorders>
              <w:top w:val="nil"/>
              <w:left w:val="nil"/>
              <w:bottom w:val="single" w:sz="4" w:space="0" w:color="auto"/>
              <w:right w:val="single" w:sz="4" w:space="0" w:color="auto"/>
            </w:tcBorders>
            <w:shd w:val="clear" w:color="auto" w:fill="auto"/>
            <w:vAlign w:val="bottom"/>
            <w:hideMark/>
          </w:tcPr>
          <w:p w14:paraId="18A4E94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T91.10: Household Sewage &amp; Urban Waste Water</w:t>
            </w:r>
          </w:p>
        </w:tc>
        <w:tc>
          <w:tcPr>
            <w:tcW w:w="360" w:type="dxa"/>
            <w:tcBorders>
              <w:top w:val="nil"/>
              <w:left w:val="nil"/>
              <w:bottom w:val="single" w:sz="4" w:space="0" w:color="auto"/>
              <w:right w:val="single" w:sz="4" w:space="0" w:color="auto"/>
            </w:tcBorders>
            <w:shd w:val="clear" w:color="auto" w:fill="auto"/>
            <w:vAlign w:val="bottom"/>
            <w:hideMark/>
          </w:tcPr>
          <w:p w14:paraId="099644B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64D757A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344B8C5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5153050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78F48BD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58A5E76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6FAB906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23D03A9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0664143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48682A4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5F2B4E7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1B6D450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49FE00A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306CAC3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54186D4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482479A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000000" w:fill="ED7D31"/>
            <w:vAlign w:val="bottom"/>
            <w:hideMark/>
          </w:tcPr>
          <w:p w14:paraId="3A5C057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774A5B2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57CF4D53" w14:textId="77777777" w:rsidTr="00E70E21">
        <w:trPr>
          <w:trHeight w:val="62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09B478F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Industrial Runoff</w:t>
            </w:r>
          </w:p>
        </w:tc>
        <w:tc>
          <w:tcPr>
            <w:tcW w:w="1452" w:type="dxa"/>
            <w:tcBorders>
              <w:top w:val="nil"/>
              <w:left w:val="nil"/>
              <w:bottom w:val="single" w:sz="4" w:space="0" w:color="auto"/>
              <w:right w:val="single" w:sz="4" w:space="0" w:color="auto"/>
            </w:tcBorders>
            <w:shd w:val="clear" w:color="auto" w:fill="auto"/>
            <w:vAlign w:val="bottom"/>
            <w:hideMark/>
          </w:tcPr>
          <w:p w14:paraId="6B9237E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09.2.4: Industrial Runoff</w:t>
            </w:r>
          </w:p>
        </w:tc>
        <w:tc>
          <w:tcPr>
            <w:tcW w:w="1506" w:type="dxa"/>
            <w:tcBorders>
              <w:top w:val="nil"/>
              <w:left w:val="nil"/>
              <w:bottom w:val="single" w:sz="4" w:space="0" w:color="auto"/>
              <w:right w:val="single" w:sz="4" w:space="0" w:color="auto"/>
            </w:tcBorders>
            <w:shd w:val="clear" w:color="auto" w:fill="auto"/>
            <w:vAlign w:val="bottom"/>
            <w:hideMark/>
          </w:tcPr>
          <w:p w14:paraId="6378A43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T91.20: Industrial &amp; Military Effluents</w:t>
            </w:r>
          </w:p>
        </w:tc>
        <w:tc>
          <w:tcPr>
            <w:tcW w:w="360" w:type="dxa"/>
            <w:tcBorders>
              <w:top w:val="nil"/>
              <w:left w:val="nil"/>
              <w:bottom w:val="single" w:sz="4" w:space="0" w:color="auto"/>
              <w:right w:val="single" w:sz="4" w:space="0" w:color="auto"/>
            </w:tcBorders>
            <w:shd w:val="clear" w:color="auto" w:fill="auto"/>
            <w:vAlign w:val="bottom"/>
            <w:hideMark/>
          </w:tcPr>
          <w:p w14:paraId="26419EE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3E79456E"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4D69541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5CCAF87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71AB342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4FFD12E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3ACB64F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27ED15E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4D6ECF6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2F18A0D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5EDFA8A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455515B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6C2FA0B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7A34868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4C190BC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77E4E5E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23555D6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1CED547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115AF772" w14:textId="77777777" w:rsidTr="00E70E21">
        <w:trPr>
          <w:trHeight w:val="431"/>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46D6440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Agricultural &amp; Forestry Effluents</w:t>
            </w:r>
          </w:p>
        </w:tc>
        <w:tc>
          <w:tcPr>
            <w:tcW w:w="1452" w:type="dxa"/>
            <w:tcBorders>
              <w:top w:val="nil"/>
              <w:left w:val="nil"/>
              <w:bottom w:val="single" w:sz="4" w:space="0" w:color="auto"/>
              <w:right w:val="single" w:sz="4" w:space="0" w:color="auto"/>
            </w:tcBorders>
            <w:shd w:val="clear" w:color="auto" w:fill="auto"/>
            <w:vAlign w:val="bottom"/>
            <w:hideMark/>
          </w:tcPr>
          <w:p w14:paraId="24FD1A23"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09.3: Agricultural &amp; Forestry Effluents</w:t>
            </w:r>
          </w:p>
        </w:tc>
        <w:tc>
          <w:tcPr>
            <w:tcW w:w="1506" w:type="dxa"/>
            <w:tcBorders>
              <w:top w:val="nil"/>
              <w:left w:val="nil"/>
              <w:bottom w:val="single" w:sz="4" w:space="0" w:color="auto"/>
              <w:right w:val="single" w:sz="4" w:space="0" w:color="auto"/>
            </w:tcBorders>
            <w:shd w:val="clear" w:color="auto" w:fill="auto"/>
            <w:vAlign w:val="bottom"/>
            <w:hideMark/>
          </w:tcPr>
          <w:p w14:paraId="1CE076C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T91.30: Agricultural &amp; Forestry Effluents</w:t>
            </w:r>
          </w:p>
        </w:tc>
        <w:tc>
          <w:tcPr>
            <w:tcW w:w="360" w:type="dxa"/>
            <w:tcBorders>
              <w:top w:val="nil"/>
              <w:left w:val="nil"/>
              <w:bottom w:val="single" w:sz="4" w:space="0" w:color="auto"/>
              <w:right w:val="single" w:sz="4" w:space="0" w:color="auto"/>
            </w:tcBorders>
            <w:shd w:val="clear" w:color="auto" w:fill="auto"/>
            <w:vAlign w:val="bottom"/>
            <w:hideMark/>
          </w:tcPr>
          <w:p w14:paraId="6A395D66"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35C0F93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47262AD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1E46753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100B832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24B3C757"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1FF3095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49BABD1A"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1BF56E8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319D1F7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73CCA81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0D5A4DDC"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5C69A4F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5BEBADB1"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7B733E1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0F21A33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187F4AE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666A26A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r w:rsidR="00E70E21" w:rsidRPr="007C1896" w14:paraId="3EED3301" w14:textId="77777777" w:rsidTr="00E70E21">
        <w:trPr>
          <w:trHeight w:val="900"/>
        </w:trPr>
        <w:tc>
          <w:tcPr>
            <w:tcW w:w="1452" w:type="dxa"/>
            <w:tcBorders>
              <w:top w:val="nil"/>
              <w:left w:val="single" w:sz="4" w:space="0" w:color="auto"/>
              <w:bottom w:val="single" w:sz="4" w:space="0" w:color="auto"/>
              <w:right w:val="single" w:sz="4" w:space="0" w:color="auto"/>
            </w:tcBorders>
            <w:shd w:val="clear" w:color="auto" w:fill="auto"/>
            <w:vAlign w:val="bottom"/>
            <w:hideMark/>
          </w:tcPr>
          <w:p w14:paraId="69D38B2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Air-Borne Pollutants</w:t>
            </w:r>
          </w:p>
        </w:tc>
        <w:tc>
          <w:tcPr>
            <w:tcW w:w="1452" w:type="dxa"/>
            <w:tcBorders>
              <w:top w:val="nil"/>
              <w:left w:val="nil"/>
              <w:bottom w:val="single" w:sz="4" w:space="0" w:color="auto"/>
              <w:right w:val="single" w:sz="4" w:space="0" w:color="auto"/>
            </w:tcBorders>
            <w:shd w:val="clear" w:color="auto" w:fill="auto"/>
            <w:vAlign w:val="bottom"/>
            <w:hideMark/>
          </w:tcPr>
          <w:p w14:paraId="738E66F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09.5: Air-Borne Pollutants</w:t>
            </w:r>
          </w:p>
        </w:tc>
        <w:tc>
          <w:tcPr>
            <w:tcW w:w="1506" w:type="dxa"/>
            <w:tcBorders>
              <w:top w:val="nil"/>
              <w:left w:val="nil"/>
              <w:bottom w:val="single" w:sz="4" w:space="0" w:color="auto"/>
              <w:right w:val="single" w:sz="4" w:space="0" w:color="auto"/>
            </w:tcBorders>
            <w:shd w:val="clear" w:color="auto" w:fill="auto"/>
            <w:vAlign w:val="bottom"/>
            <w:hideMark/>
          </w:tcPr>
          <w:p w14:paraId="39108E4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T91.50: Air-Borne Pollutants</w:t>
            </w:r>
          </w:p>
        </w:tc>
        <w:tc>
          <w:tcPr>
            <w:tcW w:w="360" w:type="dxa"/>
            <w:tcBorders>
              <w:top w:val="nil"/>
              <w:left w:val="nil"/>
              <w:bottom w:val="single" w:sz="4" w:space="0" w:color="auto"/>
              <w:right w:val="single" w:sz="4" w:space="0" w:color="auto"/>
            </w:tcBorders>
            <w:shd w:val="clear" w:color="auto" w:fill="auto"/>
            <w:vAlign w:val="bottom"/>
            <w:hideMark/>
          </w:tcPr>
          <w:p w14:paraId="4B2F52D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718B125F"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7F4CACC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3B8D98F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630" w:type="dxa"/>
            <w:tcBorders>
              <w:top w:val="nil"/>
              <w:left w:val="nil"/>
              <w:bottom w:val="single" w:sz="4" w:space="0" w:color="auto"/>
              <w:right w:val="single" w:sz="4" w:space="0" w:color="auto"/>
            </w:tcBorders>
            <w:shd w:val="clear" w:color="auto" w:fill="auto"/>
            <w:vAlign w:val="bottom"/>
            <w:hideMark/>
          </w:tcPr>
          <w:p w14:paraId="42326F5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23E5F8C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4885CF8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50770A5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01D584F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775A3F15"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5C32FC8B"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000000" w:fill="ED7D31"/>
            <w:vAlign w:val="bottom"/>
            <w:hideMark/>
          </w:tcPr>
          <w:p w14:paraId="2B0F514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540" w:type="dxa"/>
            <w:tcBorders>
              <w:top w:val="nil"/>
              <w:left w:val="nil"/>
              <w:bottom w:val="single" w:sz="4" w:space="0" w:color="auto"/>
              <w:right w:val="single" w:sz="4" w:space="0" w:color="auto"/>
            </w:tcBorders>
            <w:shd w:val="clear" w:color="auto" w:fill="auto"/>
            <w:vAlign w:val="bottom"/>
            <w:hideMark/>
          </w:tcPr>
          <w:p w14:paraId="05AD5F58"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auto" w:fill="auto"/>
            <w:vAlign w:val="bottom"/>
            <w:hideMark/>
          </w:tcPr>
          <w:p w14:paraId="672F6AF0"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450" w:type="dxa"/>
            <w:tcBorders>
              <w:top w:val="nil"/>
              <w:left w:val="nil"/>
              <w:bottom w:val="single" w:sz="4" w:space="0" w:color="auto"/>
              <w:right w:val="single" w:sz="4" w:space="0" w:color="auto"/>
            </w:tcBorders>
            <w:shd w:val="clear" w:color="000000" w:fill="ED7D31"/>
            <w:vAlign w:val="bottom"/>
            <w:hideMark/>
          </w:tcPr>
          <w:p w14:paraId="21266D54"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auto" w:fill="auto"/>
            <w:vAlign w:val="bottom"/>
            <w:hideMark/>
          </w:tcPr>
          <w:p w14:paraId="5A3CF7D2"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810" w:type="dxa"/>
            <w:tcBorders>
              <w:top w:val="nil"/>
              <w:left w:val="nil"/>
              <w:bottom w:val="single" w:sz="4" w:space="0" w:color="auto"/>
              <w:right w:val="single" w:sz="4" w:space="0" w:color="auto"/>
            </w:tcBorders>
            <w:shd w:val="clear" w:color="auto" w:fill="auto"/>
            <w:vAlign w:val="bottom"/>
            <w:hideMark/>
          </w:tcPr>
          <w:p w14:paraId="6FFC17FD"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c>
          <w:tcPr>
            <w:tcW w:w="720" w:type="dxa"/>
            <w:tcBorders>
              <w:top w:val="nil"/>
              <w:left w:val="nil"/>
              <w:bottom w:val="single" w:sz="4" w:space="0" w:color="auto"/>
              <w:right w:val="single" w:sz="4" w:space="0" w:color="auto"/>
            </w:tcBorders>
            <w:shd w:val="clear" w:color="000000" w:fill="ED7D31"/>
            <w:vAlign w:val="bottom"/>
            <w:hideMark/>
          </w:tcPr>
          <w:p w14:paraId="353149E9" w14:textId="77777777" w:rsidR="00E70E21" w:rsidRPr="007C1896" w:rsidRDefault="00E70E21" w:rsidP="00E70E21">
            <w:pPr>
              <w:spacing w:after="0" w:line="240" w:lineRule="auto"/>
              <w:rPr>
                <w:rFonts w:ascii="Calibri" w:eastAsia="Times New Roman" w:hAnsi="Calibri" w:cs="Times New Roman"/>
                <w:color w:val="000000"/>
              </w:rPr>
            </w:pPr>
            <w:r w:rsidRPr="007C1896">
              <w:rPr>
                <w:rFonts w:ascii="Calibri" w:eastAsia="Times New Roman" w:hAnsi="Calibri" w:cs="Times New Roman"/>
                <w:color w:val="000000"/>
              </w:rPr>
              <w:t> </w:t>
            </w:r>
          </w:p>
        </w:tc>
      </w:tr>
    </w:tbl>
    <w:p w14:paraId="7E130CEC" w14:textId="6E22F11D" w:rsidR="00EB0781" w:rsidRDefault="00EB0781" w:rsidP="00C25671">
      <w:pPr>
        <w:sectPr w:rsidR="00EB0781" w:rsidSect="009938B4">
          <w:pgSz w:w="15840" w:h="12240" w:orient="landscape" w:code="1"/>
          <w:pgMar w:top="720" w:right="720" w:bottom="720" w:left="720" w:header="720" w:footer="720" w:gutter="0"/>
          <w:cols w:space="720"/>
          <w:docGrid w:linePitch="360"/>
        </w:sectPr>
      </w:pPr>
    </w:p>
    <w:p w14:paraId="28DA6C6F" w14:textId="17F571B0" w:rsidR="00B90508" w:rsidRDefault="00B90508" w:rsidP="00B90508">
      <w:pPr>
        <w:spacing w:before="300" w:after="840" w:line="240" w:lineRule="auto"/>
        <w:outlineLvl w:val="1"/>
        <w:rPr>
          <w:rFonts w:ascii="Trebuchet MS" w:eastAsia="Times New Roman" w:hAnsi="Trebuchet MS" w:cs="Times New Roman"/>
          <w:b/>
          <w:bCs/>
          <w:color w:val="003A5D"/>
          <w:sz w:val="24"/>
          <w:szCs w:val="24"/>
        </w:rPr>
      </w:pPr>
      <w:r>
        <w:rPr>
          <w:rFonts w:ascii="Trebuchet MS" w:eastAsia="Times New Roman" w:hAnsi="Trebuchet MS" w:cs="Times New Roman"/>
          <w:b/>
          <w:bCs/>
          <w:color w:val="003A5D"/>
          <w:sz w:val="24"/>
          <w:szCs w:val="24"/>
        </w:rPr>
        <w:lastRenderedPageBreak/>
        <w:t>F</w:t>
      </w:r>
      <w:r w:rsidRPr="00EB0781">
        <w:rPr>
          <w:rFonts w:ascii="Trebuchet MS" w:eastAsia="Times New Roman" w:hAnsi="Trebuchet MS" w:cs="Times New Roman"/>
          <w:b/>
          <w:bCs/>
          <w:color w:val="003A5D"/>
          <w:sz w:val="24"/>
          <w:szCs w:val="24"/>
        </w:rPr>
        <w:t xml:space="preserve">. </w:t>
      </w:r>
      <w:r>
        <w:rPr>
          <w:rFonts w:ascii="Trebuchet MS" w:eastAsia="Times New Roman" w:hAnsi="Trebuchet MS" w:cs="Times New Roman"/>
          <w:b/>
          <w:bCs/>
          <w:color w:val="003A5D"/>
          <w:sz w:val="24"/>
          <w:szCs w:val="24"/>
        </w:rPr>
        <w:t>SOUTH SOUND STRATEGY</w:t>
      </w:r>
    </w:p>
    <w:p w14:paraId="4E6EB830" w14:textId="77777777" w:rsidR="00B90508" w:rsidRDefault="00B90508" w:rsidP="00B90508">
      <w:pPr>
        <w:spacing w:before="300" w:after="150" w:line="240" w:lineRule="auto"/>
        <w:outlineLvl w:val="1"/>
        <w:rPr>
          <w:rFonts w:ascii="Trebuchet MS" w:eastAsia="Times New Roman" w:hAnsi="Trebuchet MS" w:cs="Times New Roman"/>
          <w:b/>
          <w:bCs/>
          <w:color w:val="003A5D"/>
          <w:sz w:val="24"/>
          <w:szCs w:val="24"/>
        </w:rPr>
      </w:pPr>
    </w:p>
    <w:p w14:paraId="34B1C12C" w14:textId="77777777" w:rsidR="00B90508" w:rsidRPr="00B90508" w:rsidRDefault="00B90508" w:rsidP="00B90508">
      <w:pPr>
        <w:spacing w:before="2160" w:after="0" w:line="204" w:lineRule="auto"/>
        <w:ind w:left="432" w:right="288"/>
        <w:contextualSpacing/>
        <w:rPr>
          <w:rFonts w:eastAsiaTheme="majorEastAsia" w:cstheme="minorHAnsi"/>
          <w:caps/>
          <w:color w:val="2B5A8E"/>
          <w:spacing w:val="-15"/>
          <w:sz w:val="84"/>
          <w:szCs w:val="84"/>
        </w:rPr>
      </w:pPr>
      <w:r w:rsidRPr="00B90508">
        <w:rPr>
          <w:rFonts w:eastAsiaTheme="majorEastAsia" w:cstheme="minorHAnsi"/>
          <w:caps/>
          <w:color w:val="2B5A8E"/>
          <w:spacing w:val="-15"/>
          <w:sz w:val="84"/>
          <w:szCs w:val="84"/>
        </w:rPr>
        <w:t>South Sound Strategy</w:t>
      </w:r>
    </w:p>
    <w:p w14:paraId="224C725A" w14:textId="77777777" w:rsidR="00B90508" w:rsidRPr="00B90508" w:rsidRDefault="00B90508" w:rsidP="00B90508">
      <w:pPr>
        <w:spacing w:line="276" w:lineRule="auto"/>
        <w:ind w:left="432"/>
        <w:rPr>
          <w:rFonts w:eastAsiaTheme="minorEastAsia"/>
          <w:color w:val="FF0000"/>
          <w:sz w:val="24"/>
        </w:rPr>
      </w:pPr>
      <w:r w:rsidRPr="00B90508">
        <w:rPr>
          <w:rFonts w:eastAsiaTheme="minorEastAsia"/>
          <w:noProof/>
          <w:color w:val="FF0000"/>
        </w:rPr>
        <w:drawing>
          <wp:anchor distT="0" distB="0" distL="114300" distR="114300" simplePos="0" relativeHeight="251671552" behindDoc="0" locked="0" layoutInCell="1" allowOverlap="1" wp14:anchorId="33602D0F" wp14:editId="0BAD6EEC">
            <wp:simplePos x="0" y="0"/>
            <wp:positionH relativeFrom="margin">
              <wp:posOffset>2924356</wp:posOffset>
            </wp:positionH>
            <wp:positionV relativeFrom="page">
              <wp:posOffset>5795645</wp:posOffset>
            </wp:positionV>
            <wp:extent cx="2715260" cy="3172460"/>
            <wp:effectExtent l="0" t="0" r="8890" b="8890"/>
            <wp:wrapNone/>
            <wp:docPr id="199" name="Picture 199" descr="S:\Projects\1134_Thurston County ILO 2014-2015\Art\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Projects\1134_Thurston County ILO 2014-2015\Art\logo.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715260" cy="31724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B90508">
        <w:rPr>
          <w:rFonts w:eastAsiaTheme="minorEastAsia"/>
          <w:noProof/>
          <w:color w:val="FF0000"/>
          <w:sz w:val="24"/>
        </w:rPr>
        <mc:AlternateContent>
          <mc:Choice Requires="wps">
            <w:drawing>
              <wp:anchor distT="0" distB="0" distL="114300" distR="114300" simplePos="0" relativeHeight="251668480" behindDoc="0" locked="0" layoutInCell="1" allowOverlap="1" wp14:anchorId="1784F861" wp14:editId="63394DE5">
                <wp:simplePos x="0" y="0"/>
                <wp:positionH relativeFrom="margin">
                  <wp:posOffset>-928370</wp:posOffset>
                </wp:positionH>
                <wp:positionV relativeFrom="page">
                  <wp:posOffset>7102524</wp:posOffset>
                </wp:positionV>
                <wp:extent cx="7772400" cy="9144"/>
                <wp:effectExtent l="0" t="19050" r="38100" b="48260"/>
                <wp:wrapNone/>
                <wp:docPr id="7" name="Straight Connector 7"/>
                <wp:cNvGraphicFramePr/>
                <a:graphic xmlns:a="http://schemas.openxmlformats.org/drawingml/2006/main">
                  <a:graphicData uri="http://schemas.microsoft.com/office/word/2010/wordprocessingShape">
                    <wps:wsp>
                      <wps:cNvCnPr/>
                      <wps:spPr>
                        <a:xfrm>
                          <a:off x="0" y="0"/>
                          <a:ext cx="7772400" cy="9144"/>
                        </a:xfrm>
                        <a:prstGeom prst="line">
                          <a:avLst/>
                        </a:prstGeom>
                        <a:noFill/>
                        <a:ln w="57150" cap="flat" cmpd="sng" algn="ctr">
                          <a:solidFill>
                            <a:srgbClr val="9ECB7F"/>
                          </a:solidFill>
                          <a:prstDash val="solid"/>
                          <a:miter lim="800000"/>
                        </a:ln>
                        <a:effectLst/>
                      </wps:spPr>
                      <wps:bodyPr/>
                    </wps:wsp>
                  </a:graphicData>
                </a:graphic>
                <wp14:sizeRelH relativeFrom="margin">
                  <wp14:pctWidth>0</wp14:pctWidth>
                </wp14:sizeRelH>
                <wp14:sizeRelV relativeFrom="margin">
                  <wp14:pctHeight>0</wp14:pctHeight>
                </wp14:sizeRelV>
              </wp:anchor>
            </w:drawing>
          </mc:Choice>
          <mc:Fallback>
            <w:pict>
              <v:line w14:anchorId="2D50C44C" id="Straight Connector 7" o:spid="_x0000_s1026" style="position:absolute;z-index:251668480;visibility:visible;mso-wrap-style:square;mso-width-percent:0;mso-height-percent:0;mso-wrap-distance-left:9pt;mso-wrap-distance-top:0;mso-wrap-distance-right:9pt;mso-wrap-distance-bottom:0;mso-position-horizontal:absolute;mso-position-horizontal-relative:margin;mso-position-vertical:absolute;mso-position-vertical-relative:page;mso-width-percent:0;mso-height-percent:0;mso-width-relative:margin;mso-height-relative:margin" from="-73.1pt,559.25pt" to="538.9pt,559.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UxNywEAAHgDAAAOAAAAZHJzL2Uyb0RvYy54bWysU9uO0zAQfUfiHyy/06RVl+xGTVeipbwg&#10;WGnhA6aOnVjyTWPTtH/P2A3dBd4QeXDmejLneLJ5PFvDThKj9q7jy0XNmXTC99oNHf/+7fDunrOY&#10;wPVgvJMdv8jIH7dv32ym0MqVH73pJTICcbGdQsfHlEJbVVGM0kJc+CAdJZVHC4lcHKoeYSJ0a6pV&#10;Xb+vJo99QC9kjBTdX5N8W/CVkiJ9VSrKxEzHabZUTiznMZ/VdgPtgBBGLeYx4B+msKAdffQGtYcE&#10;7Afqv6CsFuijV2khvK28UlrIwoHYLOs/2DyPEGThQuLEcJMp/j9Y8eX0hEz3HW84c2Dpip4Tgh7G&#10;xHbeORLQI2uyTlOILZXv3BPOXgxPmEmfFdr8JjrsXLS93LSV58QEBZumWa1rugJBuYflep0hq5fe&#10;gDF9kt6ybHTcaJeZQwunzzFdS3+V5LDzB20MxaE1jk0dv2uWdxkdaImUgUSmDUQruoEzMANtp0hY&#10;IKM3us/tuTvicNwZZCegDXn4uPvQHObJfivL395DHK91JZXLoLU60QIbbTt+X+dn7jYuZ2VZwZlB&#10;FvAqWbaOvr8UJavs0fUWOeZVzPvz2if79Q+z/QkAAP//AwBQSwMEFAAGAAgAAAAhAGCV55LhAAAA&#10;DwEAAA8AAABkcnMvZG93bnJldi54bWxMj0tPwzAQhO9I/Adrkbi1Tqq+ksapEBISHGkLZzdekhQ/&#10;ItttEn49Wy7luDOfZmeK7WA0u6APrbMC0mkCDG3lVGtrAYf9y2QNLERpldTOooARA2zL+7tC5sr1&#10;9h0vu1gzCrEhlwKaGLuc81A1aGSYug4teV/OGxnp9DVXXvYUbjSfJcmSG9la+tDIDp8brL53ZyPg&#10;Y3yNh59TlS32vh/1m3H+U8+FeHwYnjbAIg7xBsO1PlWHkjod3dmqwLSASTpfzoglJ03XC2BXJlmt&#10;aM/xT8sy4GXB/+8ofwEAAP//AwBQSwECLQAUAAYACAAAACEAtoM4kv4AAADhAQAAEwAAAAAAAAAA&#10;AAAAAAAAAAAAW0NvbnRlbnRfVHlwZXNdLnhtbFBLAQItABQABgAIAAAAIQA4/SH/1gAAAJQBAAAL&#10;AAAAAAAAAAAAAAAAAC8BAABfcmVscy8ucmVsc1BLAQItABQABgAIAAAAIQBY3UxNywEAAHgDAAAO&#10;AAAAAAAAAAAAAAAAAC4CAABkcnMvZTJvRG9jLnhtbFBLAQItABQABgAIAAAAIQBgleeS4QAAAA8B&#10;AAAPAAAAAAAAAAAAAAAAACUEAABkcnMvZG93bnJldi54bWxQSwUGAAAAAAQABADzAAAAMwUAAAAA&#10;" strokecolor="#9ecb7f" strokeweight="4.5pt">
                <v:stroke joinstyle="miter"/>
                <w10:wrap anchorx="margin" anchory="page"/>
              </v:line>
            </w:pict>
          </mc:Fallback>
        </mc:AlternateContent>
      </w:r>
      <w:r w:rsidRPr="00B90508">
        <w:rPr>
          <w:rFonts w:eastAsiaTheme="minorEastAsia"/>
          <w:color w:val="FF0000"/>
          <w:sz w:val="24"/>
        </w:rPr>
        <w:t>Draft 9-30-16</w:t>
      </w:r>
    </w:p>
    <w:p w14:paraId="69CBB777" w14:textId="77777777" w:rsidR="00B90508" w:rsidRPr="00B90508" w:rsidRDefault="00B90508" w:rsidP="00B90508">
      <w:pPr>
        <w:rPr>
          <w:rFonts w:eastAsiaTheme="minorEastAsia"/>
          <w:color w:val="FF0000"/>
          <w:sz w:val="24"/>
        </w:rPr>
      </w:pPr>
      <w:r w:rsidRPr="00B90508">
        <w:rPr>
          <w:rFonts w:eastAsiaTheme="minorEastAsia"/>
          <w:color w:val="FF0000"/>
          <w:sz w:val="24"/>
        </w:rPr>
        <w:br w:type="page"/>
      </w:r>
    </w:p>
    <w:p w14:paraId="474A4917" w14:textId="77777777" w:rsidR="00B90508" w:rsidRPr="00B90508" w:rsidRDefault="00B90508" w:rsidP="00B90508">
      <w:pPr>
        <w:spacing w:line="276" w:lineRule="auto"/>
        <w:rPr>
          <w:rFonts w:asciiTheme="majorHAnsi" w:eastAsiaTheme="minorEastAsia" w:hAnsiTheme="majorHAnsi" w:cstheme="majorHAnsi"/>
          <w:color w:val="2B5A8E"/>
          <w:sz w:val="32"/>
        </w:rPr>
      </w:pPr>
      <w:r w:rsidRPr="00B90508">
        <w:rPr>
          <w:rFonts w:asciiTheme="majorHAnsi" w:eastAsiaTheme="minorEastAsia" w:hAnsiTheme="majorHAnsi" w:cstheme="majorHAnsi"/>
          <w:color w:val="2B5A8E"/>
          <w:sz w:val="32"/>
        </w:rPr>
        <w:lastRenderedPageBreak/>
        <w:t>Contents</w:t>
      </w:r>
    </w:p>
    <w:p w14:paraId="07E2D0AC"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fldChar w:fldCharType="begin"/>
      </w:r>
      <w:r w:rsidRPr="00B90508">
        <w:rPr>
          <w:rFonts w:eastAsiaTheme="minorEastAsia"/>
          <w:b/>
          <w:noProof/>
          <w:sz w:val="20"/>
          <w:szCs w:val="20"/>
        </w:rPr>
        <w:instrText xml:space="preserve"> TOC \o "1-2" \u </w:instrText>
      </w:r>
      <w:r w:rsidRPr="00B90508">
        <w:rPr>
          <w:rFonts w:eastAsiaTheme="minorEastAsia"/>
          <w:b/>
          <w:noProof/>
          <w:sz w:val="20"/>
          <w:szCs w:val="20"/>
        </w:rPr>
        <w:fldChar w:fldCharType="separate"/>
      </w:r>
      <w:r w:rsidRPr="00B90508">
        <w:rPr>
          <w:rFonts w:eastAsiaTheme="minorEastAsia"/>
          <w:b/>
          <w:noProof/>
          <w:sz w:val="20"/>
          <w:szCs w:val="20"/>
        </w:rPr>
        <w:t>I.</w:t>
      </w:r>
      <w:r w:rsidRPr="00B90508">
        <w:rPr>
          <w:rFonts w:eastAsiaTheme="minorEastAsia"/>
          <w:noProof/>
        </w:rPr>
        <w:tab/>
      </w:r>
      <w:r w:rsidRPr="00B90508">
        <w:rPr>
          <w:rFonts w:eastAsiaTheme="minorEastAsia"/>
          <w:b/>
          <w:noProof/>
          <w:sz w:val="20"/>
          <w:szCs w:val="20"/>
        </w:rPr>
        <w:t>Executive Summary</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_Toc462999992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1</w:t>
      </w:r>
      <w:r w:rsidRPr="00B90508">
        <w:rPr>
          <w:rFonts w:eastAsiaTheme="minorEastAsia"/>
          <w:b/>
          <w:noProof/>
          <w:sz w:val="20"/>
          <w:szCs w:val="20"/>
        </w:rPr>
        <w:fldChar w:fldCharType="end"/>
      </w:r>
    </w:p>
    <w:p w14:paraId="236C1DBE"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II.</w:t>
      </w:r>
      <w:r w:rsidRPr="00B90508">
        <w:rPr>
          <w:rFonts w:eastAsiaTheme="minorEastAsia"/>
          <w:noProof/>
        </w:rPr>
        <w:tab/>
      </w:r>
      <w:r w:rsidRPr="00B90508">
        <w:rPr>
          <w:rFonts w:eastAsiaTheme="minorEastAsia"/>
          <w:b/>
          <w:noProof/>
          <w:sz w:val="20"/>
          <w:szCs w:val="20"/>
        </w:rPr>
        <w:t>Introduction</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_Toc462999993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2</w:t>
      </w:r>
      <w:r w:rsidRPr="00B90508">
        <w:rPr>
          <w:rFonts w:eastAsiaTheme="minorEastAsia"/>
          <w:b/>
          <w:noProof/>
          <w:sz w:val="20"/>
          <w:szCs w:val="20"/>
        </w:rPr>
        <w:fldChar w:fldCharType="end"/>
      </w:r>
    </w:p>
    <w:p w14:paraId="05BDD1E7"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Vision for the South Sound Strategy</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_Toc462999994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2</w:t>
      </w:r>
      <w:r w:rsidRPr="00B90508">
        <w:rPr>
          <w:rFonts w:eastAsiaTheme="minorEastAsia"/>
          <w:noProof/>
          <w:sz w:val="20"/>
          <w:szCs w:val="20"/>
        </w:rPr>
        <w:fldChar w:fldCharType="end"/>
      </w:r>
    </w:p>
    <w:p w14:paraId="5E2A3028"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Purpose of the South Sound Strategy</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_Toc462999995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2</w:t>
      </w:r>
      <w:r w:rsidRPr="00B90508">
        <w:rPr>
          <w:rFonts w:eastAsiaTheme="minorEastAsia"/>
          <w:noProof/>
          <w:sz w:val="20"/>
          <w:szCs w:val="20"/>
        </w:rPr>
        <w:fldChar w:fldCharType="end"/>
      </w:r>
    </w:p>
    <w:p w14:paraId="138652F0"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South Puget Sound Overview</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_Toc462999996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2</w:t>
      </w:r>
      <w:r w:rsidRPr="00B90508">
        <w:rPr>
          <w:rFonts w:eastAsiaTheme="minorEastAsia"/>
          <w:noProof/>
          <w:sz w:val="20"/>
          <w:szCs w:val="20"/>
        </w:rPr>
        <w:fldChar w:fldCharType="end"/>
      </w:r>
    </w:p>
    <w:p w14:paraId="232883F3"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South Puget Sound Assessment Units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_Toc462999997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5</w:t>
      </w:r>
      <w:r w:rsidRPr="00B90508">
        <w:rPr>
          <w:rFonts w:eastAsiaTheme="minorEastAsia"/>
          <w:noProof/>
          <w:sz w:val="20"/>
          <w:szCs w:val="20"/>
        </w:rPr>
        <w:fldChar w:fldCharType="end"/>
      </w:r>
    </w:p>
    <w:p w14:paraId="645AD50C"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Arial"/>
          <w:noProof/>
          <w:sz w:val="20"/>
          <w:szCs w:val="20"/>
        </w:rPr>
        <w:t>Relationship to Existing Salmon Recovery Plans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_Toc462999998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7</w:t>
      </w:r>
      <w:r w:rsidRPr="00B90508">
        <w:rPr>
          <w:rFonts w:eastAsiaTheme="minorEastAsia"/>
          <w:noProof/>
          <w:sz w:val="20"/>
          <w:szCs w:val="20"/>
        </w:rPr>
        <w:fldChar w:fldCharType="end"/>
      </w:r>
    </w:p>
    <w:p w14:paraId="0BAC0A0D"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III.</w:t>
      </w:r>
      <w:r w:rsidRPr="00B90508">
        <w:rPr>
          <w:rFonts w:eastAsiaTheme="minorEastAsia"/>
          <w:noProof/>
        </w:rPr>
        <w:tab/>
      </w:r>
      <w:r w:rsidRPr="00B90508">
        <w:rPr>
          <w:rFonts w:eastAsiaTheme="minorEastAsia"/>
          <w:b/>
          <w:noProof/>
          <w:sz w:val="20"/>
          <w:szCs w:val="20"/>
        </w:rPr>
        <w:t>South Sound Focus Areas</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_Toc462999999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9</w:t>
      </w:r>
      <w:r w:rsidRPr="00B90508">
        <w:rPr>
          <w:rFonts w:eastAsiaTheme="minorEastAsia"/>
          <w:b/>
          <w:noProof/>
          <w:sz w:val="20"/>
          <w:szCs w:val="20"/>
        </w:rPr>
        <w:fldChar w:fldCharType="end"/>
      </w:r>
    </w:p>
    <w:p w14:paraId="620A3C48"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IV.</w:t>
      </w:r>
      <w:r w:rsidRPr="00B90508">
        <w:rPr>
          <w:rFonts w:eastAsiaTheme="minorEastAsia"/>
          <w:noProof/>
        </w:rPr>
        <w:tab/>
      </w:r>
      <w:r w:rsidRPr="00B90508">
        <w:rPr>
          <w:rFonts w:eastAsiaTheme="minorEastAsia"/>
          <w:b/>
          <w:noProof/>
          <w:sz w:val="20"/>
          <w:szCs w:val="20"/>
        </w:rPr>
        <w:t>South Sound Pressures</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_Toc463000000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11</w:t>
      </w:r>
      <w:r w:rsidRPr="00B90508">
        <w:rPr>
          <w:rFonts w:eastAsiaTheme="minorEastAsia"/>
          <w:b/>
          <w:noProof/>
          <w:sz w:val="20"/>
          <w:szCs w:val="20"/>
        </w:rPr>
        <w:fldChar w:fldCharType="end"/>
      </w:r>
    </w:p>
    <w:p w14:paraId="3DB792C3"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V.</w:t>
      </w:r>
      <w:r w:rsidRPr="00B90508">
        <w:rPr>
          <w:rFonts w:eastAsiaTheme="minorEastAsia"/>
          <w:noProof/>
        </w:rPr>
        <w:tab/>
      </w:r>
      <w:r w:rsidRPr="00B90508">
        <w:rPr>
          <w:rFonts w:eastAsiaTheme="minorEastAsia"/>
          <w:b/>
          <w:noProof/>
          <w:sz w:val="20"/>
          <w:szCs w:val="20"/>
        </w:rPr>
        <w:t>Target Setting &amp; Targets</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_Toc463000001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14</w:t>
      </w:r>
      <w:r w:rsidRPr="00B90508">
        <w:rPr>
          <w:rFonts w:eastAsiaTheme="minorEastAsia"/>
          <w:b/>
          <w:noProof/>
          <w:sz w:val="20"/>
          <w:szCs w:val="20"/>
        </w:rPr>
        <w:fldChar w:fldCharType="end"/>
      </w:r>
    </w:p>
    <w:p w14:paraId="46861F4D"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VI.</w:t>
      </w:r>
      <w:r w:rsidRPr="00B90508">
        <w:rPr>
          <w:rFonts w:eastAsiaTheme="minorEastAsia"/>
          <w:noProof/>
        </w:rPr>
        <w:tab/>
      </w:r>
      <w:r w:rsidRPr="00B90508">
        <w:rPr>
          <w:rFonts w:eastAsiaTheme="minorEastAsia"/>
          <w:b/>
          <w:noProof/>
          <w:sz w:val="20"/>
          <w:szCs w:val="20"/>
        </w:rPr>
        <w:t>Protection and Restoration of Prairies and Oak  Woodlands</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_Toc463000002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21</w:t>
      </w:r>
      <w:r w:rsidRPr="00B90508">
        <w:rPr>
          <w:rFonts w:eastAsiaTheme="minorEastAsia"/>
          <w:b/>
          <w:noProof/>
          <w:sz w:val="20"/>
          <w:szCs w:val="20"/>
        </w:rPr>
        <w:fldChar w:fldCharType="end"/>
      </w:r>
    </w:p>
    <w:p w14:paraId="226BAC5C"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Background</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_Toc463000003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21</w:t>
      </w:r>
      <w:r w:rsidRPr="00B90508">
        <w:rPr>
          <w:rFonts w:eastAsiaTheme="minorEastAsia"/>
          <w:noProof/>
          <w:sz w:val="20"/>
          <w:szCs w:val="20"/>
        </w:rPr>
        <w:fldChar w:fldCharType="end"/>
      </w:r>
    </w:p>
    <w:p w14:paraId="17C001AB"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Baseline and Status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_Toc463000004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21</w:t>
      </w:r>
      <w:r w:rsidRPr="00B90508">
        <w:rPr>
          <w:rFonts w:eastAsiaTheme="minorEastAsia"/>
          <w:noProof/>
          <w:sz w:val="20"/>
          <w:szCs w:val="20"/>
        </w:rPr>
        <w:fldChar w:fldCharType="end"/>
      </w:r>
    </w:p>
    <w:p w14:paraId="3C0CB219"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Strategies, Existing Programs, and Actions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_Toc463000005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23</w:t>
      </w:r>
      <w:r w:rsidRPr="00B90508">
        <w:rPr>
          <w:rFonts w:eastAsiaTheme="minorEastAsia"/>
          <w:noProof/>
          <w:sz w:val="20"/>
          <w:szCs w:val="20"/>
        </w:rPr>
        <w:fldChar w:fldCharType="end"/>
      </w:r>
    </w:p>
    <w:p w14:paraId="4E192CAB"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Contribution to PSP Vital Signs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_Toc463000006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26</w:t>
      </w:r>
      <w:r w:rsidRPr="00B90508">
        <w:rPr>
          <w:rFonts w:eastAsiaTheme="minorEastAsia"/>
          <w:noProof/>
          <w:sz w:val="20"/>
          <w:szCs w:val="20"/>
        </w:rPr>
        <w:fldChar w:fldCharType="end"/>
      </w:r>
    </w:p>
    <w:p w14:paraId="36D36FD1"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ascii="Calibri" w:eastAsia="Calibri" w:hAnsi="Calibri" w:cs="Calibri"/>
          <w:b/>
          <w:noProof/>
          <w:sz w:val="20"/>
          <w:szCs w:val="20"/>
        </w:rPr>
        <w:t>VII.</w:t>
      </w:r>
      <w:r w:rsidRPr="00B90508">
        <w:rPr>
          <w:rFonts w:eastAsiaTheme="minorEastAsia"/>
          <w:noProof/>
        </w:rPr>
        <w:tab/>
      </w:r>
      <w:r w:rsidRPr="00B90508">
        <w:rPr>
          <w:rFonts w:eastAsiaTheme="minorEastAsia"/>
          <w:b/>
          <w:noProof/>
          <w:sz w:val="20"/>
          <w:szCs w:val="20"/>
        </w:rPr>
        <w:t>Forests and Freshwater Habitats</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_Toc463000007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27</w:t>
      </w:r>
      <w:r w:rsidRPr="00B90508">
        <w:rPr>
          <w:rFonts w:eastAsiaTheme="minorEastAsia"/>
          <w:b/>
          <w:noProof/>
          <w:sz w:val="20"/>
          <w:szCs w:val="20"/>
        </w:rPr>
        <w:fldChar w:fldCharType="end"/>
      </w:r>
    </w:p>
    <w:p w14:paraId="68757AA4"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Calibri"/>
          <w:noProof/>
          <w:sz w:val="20"/>
          <w:szCs w:val="20"/>
        </w:rPr>
        <w:t>Background</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_Toc463000008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27</w:t>
      </w:r>
      <w:r w:rsidRPr="00B90508">
        <w:rPr>
          <w:rFonts w:eastAsiaTheme="minorEastAsia"/>
          <w:noProof/>
          <w:sz w:val="20"/>
          <w:szCs w:val="20"/>
        </w:rPr>
        <w:fldChar w:fldCharType="end"/>
      </w:r>
    </w:p>
    <w:p w14:paraId="7DEEDDFC"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Baseline and Status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_Toc463000009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27</w:t>
      </w:r>
      <w:r w:rsidRPr="00B90508">
        <w:rPr>
          <w:rFonts w:eastAsiaTheme="minorEastAsia"/>
          <w:noProof/>
          <w:sz w:val="20"/>
          <w:szCs w:val="20"/>
        </w:rPr>
        <w:fldChar w:fldCharType="end"/>
      </w:r>
    </w:p>
    <w:p w14:paraId="4FC708C7"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Strategies, Existing Programs, and Actions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_Toc463000010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40</w:t>
      </w:r>
      <w:r w:rsidRPr="00B90508">
        <w:rPr>
          <w:rFonts w:eastAsiaTheme="minorEastAsia"/>
          <w:noProof/>
          <w:sz w:val="20"/>
          <w:szCs w:val="20"/>
        </w:rPr>
        <w:fldChar w:fldCharType="end"/>
      </w:r>
    </w:p>
    <w:p w14:paraId="21A89A6E"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Contribution to PSP Vital Signs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_Toc463000011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41</w:t>
      </w:r>
      <w:r w:rsidRPr="00B90508">
        <w:rPr>
          <w:rFonts w:eastAsiaTheme="minorEastAsia"/>
          <w:noProof/>
          <w:sz w:val="20"/>
          <w:szCs w:val="20"/>
        </w:rPr>
        <w:fldChar w:fldCharType="end"/>
      </w:r>
    </w:p>
    <w:p w14:paraId="5C392329"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VIII.</w:t>
      </w:r>
      <w:r w:rsidRPr="00B90508">
        <w:rPr>
          <w:rFonts w:eastAsiaTheme="minorEastAsia"/>
          <w:noProof/>
        </w:rPr>
        <w:tab/>
      </w:r>
      <w:r w:rsidRPr="00B90508">
        <w:rPr>
          <w:rFonts w:eastAsiaTheme="minorEastAsia"/>
          <w:b/>
          <w:noProof/>
          <w:sz w:val="20"/>
          <w:szCs w:val="20"/>
        </w:rPr>
        <w:t>Marine Nearshore Habitat</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_Toc463000012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42</w:t>
      </w:r>
      <w:r w:rsidRPr="00B90508">
        <w:rPr>
          <w:rFonts w:eastAsiaTheme="minorEastAsia"/>
          <w:b/>
          <w:noProof/>
          <w:sz w:val="20"/>
          <w:szCs w:val="20"/>
        </w:rPr>
        <w:fldChar w:fldCharType="end"/>
      </w:r>
    </w:p>
    <w:p w14:paraId="1706B463"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Calibri"/>
          <w:noProof/>
          <w:sz w:val="20"/>
          <w:szCs w:val="20"/>
        </w:rPr>
        <w:t>Background</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_Toc463000013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42</w:t>
      </w:r>
      <w:r w:rsidRPr="00B90508">
        <w:rPr>
          <w:rFonts w:eastAsiaTheme="minorEastAsia"/>
          <w:noProof/>
          <w:sz w:val="20"/>
          <w:szCs w:val="20"/>
        </w:rPr>
        <w:fldChar w:fldCharType="end"/>
      </w:r>
    </w:p>
    <w:p w14:paraId="7743014B"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Baseline and Status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_Toc463000014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42</w:t>
      </w:r>
      <w:r w:rsidRPr="00B90508">
        <w:rPr>
          <w:rFonts w:eastAsiaTheme="minorEastAsia"/>
          <w:noProof/>
          <w:sz w:val="20"/>
          <w:szCs w:val="20"/>
        </w:rPr>
        <w:fldChar w:fldCharType="end"/>
      </w:r>
    </w:p>
    <w:p w14:paraId="60959773"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Strategies, Existing Programs, and Actions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_Toc463000015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67</w:t>
      </w:r>
      <w:r w:rsidRPr="00B90508">
        <w:rPr>
          <w:rFonts w:eastAsiaTheme="minorEastAsia"/>
          <w:noProof/>
          <w:sz w:val="20"/>
          <w:szCs w:val="20"/>
        </w:rPr>
        <w:fldChar w:fldCharType="end"/>
      </w:r>
    </w:p>
    <w:p w14:paraId="65E004B2"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Contribution to PSP Vital Signs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_Toc463000016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68</w:t>
      </w:r>
      <w:r w:rsidRPr="00B90508">
        <w:rPr>
          <w:rFonts w:eastAsiaTheme="minorEastAsia"/>
          <w:noProof/>
          <w:sz w:val="20"/>
          <w:szCs w:val="20"/>
        </w:rPr>
        <w:fldChar w:fldCharType="end"/>
      </w:r>
    </w:p>
    <w:p w14:paraId="5E210C69"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IX.</w:t>
      </w:r>
      <w:r w:rsidRPr="00B90508">
        <w:rPr>
          <w:rFonts w:eastAsiaTheme="minorEastAsia"/>
          <w:noProof/>
        </w:rPr>
        <w:tab/>
      </w:r>
      <w:r w:rsidRPr="00B90508">
        <w:rPr>
          <w:rFonts w:eastAsiaTheme="minorEastAsia"/>
          <w:b/>
          <w:noProof/>
          <w:sz w:val="20"/>
          <w:szCs w:val="20"/>
        </w:rPr>
        <w:t>Water Quality</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_Toc463000017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69</w:t>
      </w:r>
      <w:r w:rsidRPr="00B90508">
        <w:rPr>
          <w:rFonts w:eastAsiaTheme="minorEastAsia"/>
          <w:b/>
          <w:noProof/>
          <w:sz w:val="20"/>
          <w:szCs w:val="20"/>
        </w:rPr>
        <w:fldChar w:fldCharType="end"/>
      </w:r>
    </w:p>
    <w:p w14:paraId="34E5F9A1"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Background</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_Toc463000018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69</w:t>
      </w:r>
      <w:r w:rsidRPr="00B90508">
        <w:rPr>
          <w:rFonts w:eastAsiaTheme="minorEastAsia"/>
          <w:noProof/>
          <w:sz w:val="20"/>
          <w:szCs w:val="20"/>
        </w:rPr>
        <w:fldChar w:fldCharType="end"/>
      </w:r>
    </w:p>
    <w:p w14:paraId="75A65506"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Freshwater Water Quality Baseline and Status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_Toc463000019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69</w:t>
      </w:r>
      <w:r w:rsidRPr="00B90508">
        <w:rPr>
          <w:rFonts w:eastAsiaTheme="minorEastAsia"/>
          <w:noProof/>
          <w:sz w:val="20"/>
          <w:szCs w:val="20"/>
        </w:rPr>
        <w:fldChar w:fldCharType="end"/>
      </w:r>
    </w:p>
    <w:p w14:paraId="0918C896"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Strategies, Existing Programs, and Actions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_Toc463000020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73</w:t>
      </w:r>
      <w:r w:rsidRPr="00B90508">
        <w:rPr>
          <w:rFonts w:eastAsiaTheme="minorEastAsia"/>
          <w:noProof/>
          <w:sz w:val="20"/>
          <w:szCs w:val="20"/>
        </w:rPr>
        <w:fldChar w:fldCharType="end"/>
      </w:r>
    </w:p>
    <w:p w14:paraId="16D3CA48"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Marine Water Quality Baseline and Status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_Toc463000021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75</w:t>
      </w:r>
      <w:r w:rsidRPr="00B90508">
        <w:rPr>
          <w:rFonts w:eastAsiaTheme="minorEastAsia"/>
          <w:noProof/>
          <w:sz w:val="20"/>
          <w:szCs w:val="20"/>
        </w:rPr>
        <w:fldChar w:fldCharType="end"/>
      </w:r>
    </w:p>
    <w:p w14:paraId="5603F0F0"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Strategies, Existing Programs, and Actions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_Toc463000022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76</w:t>
      </w:r>
      <w:r w:rsidRPr="00B90508">
        <w:rPr>
          <w:rFonts w:eastAsiaTheme="minorEastAsia"/>
          <w:noProof/>
          <w:sz w:val="20"/>
          <w:szCs w:val="20"/>
        </w:rPr>
        <w:fldChar w:fldCharType="end"/>
      </w:r>
    </w:p>
    <w:p w14:paraId="703F1DA6"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Contribution to PSP Vital Signs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_Toc463000023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77</w:t>
      </w:r>
      <w:r w:rsidRPr="00B90508">
        <w:rPr>
          <w:rFonts w:eastAsiaTheme="minorEastAsia"/>
          <w:noProof/>
          <w:sz w:val="20"/>
          <w:szCs w:val="20"/>
        </w:rPr>
        <w:fldChar w:fldCharType="end"/>
      </w:r>
    </w:p>
    <w:p w14:paraId="406149D0"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X.</w:t>
      </w:r>
      <w:r w:rsidRPr="00B90508">
        <w:rPr>
          <w:rFonts w:eastAsiaTheme="minorEastAsia"/>
          <w:noProof/>
        </w:rPr>
        <w:tab/>
      </w:r>
      <w:r w:rsidRPr="00B90508">
        <w:rPr>
          <w:rFonts w:eastAsiaTheme="minorEastAsia"/>
          <w:b/>
          <w:noProof/>
          <w:sz w:val="20"/>
          <w:szCs w:val="20"/>
        </w:rPr>
        <w:t>Expansion of Healthy, Productive Shellfish Populations and Harvest</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_Toc463000024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78</w:t>
      </w:r>
      <w:r w:rsidRPr="00B90508">
        <w:rPr>
          <w:rFonts w:eastAsiaTheme="minorEastAsia"/>
          <w:b/>
          <w:noProof/>
          <w:sz w:val="20"/>
          <w:szCs w:val="20"/>
        </w:rPr>
        <w:fldChar w:fldCharType="end"/>
      </w:r>
    </w:p>
    <w:p w14:paraId="6F59889A"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Background</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_Toc463000025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78</w:t>
      </w:r>
      <w:r w:rsidRPr="00B90508">
        <w:rPr>
          <w:rFonts w:eastAsiaTheme="minorEastAsia"/>
          <w:noProof/>
          <w:sz w:val="20"/>
          <w:szCs w:val="20"/>
        </w:rPr>
        <w:fldChar w:fldCharType="end"/>
      </w:r>
    </w:p>
    <w:p w14:paraId="58DA6631"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Baseline &amp; Status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_Toc463000026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78</w:t>
      </w:r>
      <w:r w:rsidRPr="00B90508">
        <w:rPr>
          <w:rFonts w:eastAsiaTheme="minorEastAsia"/>
          <w:noProof/>
          <w:sz w:val="20"/>
          <w:szCs w:val="20"/>
        </w:rPr>
        <w:fldChar w:fldCharType="end"/>
      </w:r>
    </w:p>
    <w:p w14:paraId="4D8F5585"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Strategies, Existing Programs, and Actions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_Toc463000027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80</w:t>
      </w:r>
      <w:r w:rsidRPr="00B90508">
        <w:rPr>
          <w:rFonts w:eastAsiaTheme="minorEastAsia"/>
          <w:noProof/>
          <w:sz w:val="20"/>
          <w:szCs w:val="20"/>
        </w:rPr>
        <w:fldChar w:fldCharType="end"/>
      </w:r>
    </w:p>
    <w:p w14:paraId="0ED0A27D"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XI.</w:t>
      </w:r>
      <w:r w:rsidRPr="00B90508">
        <w:rPr>
          <w:rFonts w:eastAsiaTheme="minorEastAsia"/>
          <w:noProof/>
        </w:rPr>
        <w:tab/>
      </w:r>
      <w:r w:rsidRPr="00B90508">
        <w:rPr>
          <w:rFonts w:eastAsiaTheme="minorEastAsia"/>
          <w:b/>
          <w:noProof/>
          <w:sz w:val="20"/>
          <w:szCs w:val="20"/>
        </w:rPr>
        <w:t>Salmon</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_Toc463000028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84</w:t>
      </w:r>
      <w:r w:rsidRPr="00B90508">
        <w:rPr>
          <w:rFonts w:eastAsiaTheme="minorEastAsia"/>
          <w:b/>
          <w:noProof/>
          <w:sz w:val="20"/>
          <w:szCs w:val="20"/>
        </w:rPr>
        <w:fldChar w:fldCharType="end"/>
      </w:r>
    </w:p>
    <w:p w14:paraId="74F660B6"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Background</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_Toc463000029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84</w:t>
      </w:r>
      <w:r w:rsidRPr="00B90508">
        <w:rPr>
          <w:rFonts w:eastAsiaTheme="minorEastAsia"/>
          <w:noProof/>
          <w:sz w:val="20"/>
          <w:szCs w:val="20"/>
        </w:rPr>
        <w:fldChar w:fldCharType="end"/>
      </w:r>
    </w:p>
    <w:p w14:paraId="2AE91503"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Baseline and Status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_Toc463000030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84</w:t>
      </w:r>
      <w:r w:rsidRPr="00B90508">
        <w:rPr>
          <w:rFonts w:eastAsiaTheme="minorEastAsia"/>
          <w:noProof/>
          <w:sz w:val="20"/>
          <w:szCs w:val="20"/>
        </w:rPr>
        <w:fldChar w:fldCharType="end"/>
      </w:r>
    </w:p>
    <w:p w14:paraId="4AD7E756"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Strategies, Existing Programs, and Actions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_Toc463000031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86</w:t>
      </w:r>
      <w:r w:rsidRPr="00B90508">
        <w:rPr>
          <w:rFonts w:eastAsiaTheme="minorEastAsia"/>
          <w:noProof/>
          <w:sz w:val="20"/>
          <w:szCs w:val="20"/>
        </w:rPr>
        <w:fldChar w:fldCharType="end"/>
      </w:r>
    </w:p>
    <w:p w14:paraId="57D2A083"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XII.</w:t>
      </w:r>
      <w:r w:rsidRPr="00B90508">
        <w:rPr>
          <w:rFonts w:eastAsiaTheme="minorEastAsia"/>
          <w:noProof/>
        </w:rPr>
        <w:tab/>
      </w:r>
      <w:r w:rsidRPr="00B90508">
        <w:rPr>
          <w:rFonts w:eastAsiaTheme="minorEastAsia"/>
          <w:b/>
          <w:noProof/>
          <w:sz w:val="20"/>
          <w:szCs w:val="20"/>
        </w:rPr>
        <w:t>How to Use the South Sound Strategy</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_Toc463000032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88</w:t>
      </w:r>
      <w:r w:rsidRPr="00B90508">
        <w:rPr>
          <w:rFonts w:eastAsiaTheme="minorEastAsia"/>
          <w:b/>
          <w:noProof/>
          <w:sz w:val="20"/>
          <w:szCs w:val="20"/>
        </w:rPr>
        <w:fldChar w:fldCharType="end"/>
      </w:r>
    </w:p>
    <w:p w14:paraId="4664AC5D"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XIII.</w:t>
      </w:r>
      <w:r w:rsidRPr="00B90508">
        <w:rPr>
          <w:rFonts w:eastAsiaTheme="minorEastAsia"/>
          <w:noProof/>
        </w:rPr>
        <w:tab/>
      </w:r>
      <w:r w:rsidRPr="00B90508">
        <w:rPr>
          <w:rFonts w:eastAsiaTheme="minorEastAsia"/>
          <w:b/>
          <w:noProof/>
          <w:sz w:val="20"/>
          <w:szCs w:val="20"/>
        </w:rPr>
        <w:t>Adaptive Management</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_Toc463000033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90</w:t>
      </w:r>
      <w:r w:rsidRPr="00B90508">
        <w:rPr>
          <w:rFonts w:eastAsiaTheme="minorEastAsia"/>
          <w:b/>
          <w:noProof/>
          <w:sz w:val="20"/>
          <w:szCs w:val="20"/>
        </w:rPr>
        <w:fldChar w:fldCharType="end"/>
      </w:r>
    </w:p>
    <w:p w14:paraId="1F353F68"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Calibri"/>
          <w:noProof/>
          <w:sz w:val="20"/>
          <w:szCs w:val="20"/>
        </w:rPr>
        <w:t>Definition</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_Toc463000034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90</w:t>
      </w:r>
      <w:r w:rsidRPr="00B90508">
        <w:rPr>
          <w:rFonts w:eastAsiaTheme="minorEastAsia"/>
          <w:noProof/>
          <w:sz w:val="20"/>
          <w:szCs w:val="20"/>
        </w:rPr>
        <w:fldChar w:fldCharType="end"/>
      </w:r>
    </w:p>
    <w:p w14:paraId="58CE4788"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Calibri"/>
          <w:noProof/>
          <w:sz w:val="20"/>
          <w:szCs w:val="20"/>
        </w:rPr>
        <w:t>Adaptive Management Strategy</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_Toc463000035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90</w:t>
      </w:r>
      <w:r w:rsidRPr="00B90508">
        <w:rPr>
          <w:rFonts w:eastAsiaTheme="minorEastAsia"/>
          <w:noProof/>
          <w:sz w:val="20"/>
          <w:szCs w:val="20"/>
        </w:rPr>
        <w:fldChar w:fldCharType="end"/>
      </w:r>
    </w:p>
    <w:p w14:paraId="7C9B0292"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Calibri"/>
          <w:noProof/>
          <w:sz w:val="20"/>
          <w:szCs w:val="20"/>
        </w:rPr>
        <w:lastRenderedPageBreak/>
        <w:t>Decision Process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_Toc463000036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91</w:t>
      </w:r>
      <w:r w:rsidRPr="00B90508">
        <w:rPr>
          <w:rFonts w:eastAsiaTheme="minorEastAsia"/>
          <w:noProof/>
          <w:sz w:val="20"/>
          <w:szCs w:val="20"/>
        </w:rPr>
        <w:fldChar w:fldCharType="end"/>
      </w:r>
    </w:p>
    <w:p w14:paraId="61BE96E5" w14:textId="77777777" w:rsidR="00B90508" w:rsidRPr="00B90508" w:rsidRDefault="00B90508" w:rsidP="00B90508">
      <w:pPr>
        <w:tabs>
          <w:tab w:val="left" w:pos="440"/>
          <w:tab w:val="right" w:leader="dot" w:pos="9350"/>
        </w:tabs>
        <w:spacing w:after="0" w:line="276" w:lineRule="auto"/>
        <w:rPr>
          <w:rFonts w:eastAsiaTheme="minorEastAsia"/>
          <w:noProof/>
        </w:rPr>
      </w:pPr>
      <w:r w:rsidRPr="00B90508">
        <w:rPr>
          <w:rFonts w:eastAsiaTheme="minorEastAsia"/>
          <w:b/>
          <w:noProof/>
          <w:sz w:val="20"/>
          <w:szCs w:val="20"/>
        </w:rPr>
        <w:t>XIV.</w:t>
      </w:r>
      <w:r w:rsidRPr="00B90508">
        <w:rPr>
          <w:rFonts w:eastAsiaTheme="minorEastAsia"/>
          <w:noProof/>
        </w:rPr>
        <w:tab/>
      </w:r>
      <w:r w:rsidRPr="00B90508">
        <w:rPr>
          <w:rFonts w:eastAsiaTheme="minorEastAsia"/>
          <w:b/>
          <w:noProof/>
          <w:sz w:val="20"/>
          <w:szCs w:val="20"/>
        </w:rPr>
        <w:t>Appendix A – Descriptions of Inlet/Island Groups</w:t>
      </w:r>
      <w:r w:rsidRPr="00B90508">
        <w:rPr>
          <w:rFonts w:eastAsiaTheme="minorEastAsia"/>
          <w:b/>
          <w:noProof/>
          <w:sz w:val="20"/>
          <w:szCs w:val="20"/>
        </w:rPr>
        <w:tab/>
      </w:r>
      <w:r w:rsidRPr="00B90508">
        <w:rPr>
          <w:rFonts w:eastAsiaTheme="minorEastAsia"/>
          <w:b/>
          <w:noProof/>
          <w:sz w:val="20"/>
          <w:szCs w:val="20"/>
        </w:rPr>
        <w:fldChar w:fldCharType="begin"/>
      </w:r>
      <w:r w:rsidRPr="00B90508">
        <w:rPr>
          <w:rFonts w:eastAsiaTheme="minorEastAsia"/>
          <w:b/>
          <w:noProof/>
          <w:sz w:val="20"/>
          <w:szCs w:val="20"/>
        </w:rPr>
        <w:instrText xml:space="preserve"> PAGEREF _Toc463000037 \h </w:instrText>
      </w:r>
      <w:r w:rsidRPr="00B90508">
        <w:rPr>
          <w:rFonts w:eastAsiaTheme="minorEastAsia"/>
          <w:b/>
          <w:noProof/>
          <w:sz w:val="20"/>
          <w:szCs w:val="20"/>
        </w:rPr>
      </w:r>
      <w:r w:rsidRPr="00B90508">
        <w:rPr>
          <w:rFonts w:eastAsiaTheme="minorEastAsia"/>
          <w:b/>
          <w:noProof/>
          <w:sz w:val="20"/>
          <w:szCs w:val="20"/>
        </w:rPr>
        <w:fldChar w:fldCharType="separate"/>
      </w:r>
      <w:r w:rsidRPr="00B90508">
        <w:rPr>
          <w:rFonts w:eastAsiaTheme="minorEastAsia"/>
          <w:b/>
          <w:noProof/>
          <w:sz w:val="20"/>
          <w:szCs w:val="20"/>
        </w:rPr>
        <w:t>92</w:t>
      </w:r>
      <w:r w:rsidRPr="00B90508">
        <w:rPr>
          <w:rFonts w:eastAsiaTheme="minorEastAsia"/>
          <w:b/>
          <w:noProof/>
          <w:sz w:val="20"/>
          <w:szCs w:val="20"/>
        </w:rPr>
        <w:fldChar w:fldCharType="end"/>
      </w:r>
    </w:p>
    <w:p w14:paraId="67AFB2C5"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Budd Inlet</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_Toc463000038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92</w:t>
      </w:r>
      <w:r w:rsidRPr="00B90508">
        <w:rPr>
          <w:rFonts w:eastAsiaTheme="minorEastAsia"/>
          <w:noProof/>
          <w:sz w:val="20"/>
          <w:szCs w:val="20"/>
        </w:rPr>
        <w:fldChar w:fldCharType="end"/>
      </w:r>
    </w:p>
    <w:p w14:paraId="5A6A18C4"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Carr Inlet</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_Toc463000039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92</w:t>
      </w:r>
      <w:r w:rsidRPr="00B90508">
        <w:rPr>
          <w:rFonts w:eastAsiaTheme="minorEastAsia"/>
          <w:noProof/>
          <w:sz w:val="20"/>
          <w:szCs w:val="20"/>
        </w:rPr>
        <w:fldChar w:fldCharType="end"/>
      </w:r>
    </w:p>
    <w:p w14:paraId="3344F1F1"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Case Inlet</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_Toc463000040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92</w:t>
      </w:r>
      <w:r w:rsidRPr="00B90508">
        <w:rPr>
          <w:rFonts w:eastAsiaTheme="minorEastAsia"/>
          <w:noProof/>
          <w:sz w:val="20"/>
          <w:szCs w:val="20"/>
        </w:rPr>
        <w:fldChar w:fldCharType="end"/>
      </w:r>
    </w:p>
    <w:p w14:paraId="7702831D"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Eld Inlet</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_Toc463000041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93</w:t>
      </w:r>
      <w:r w:rsidRPr="00B90508">
        <w:rPr>
          <w:rFonts w:eastAsiaTheme="minorEastAsia"/>
          <w:noProof/>
          <w:sz w:val="20"/>
          <w:szCs w:val="20"/>
        </w:rPr>
        <w:fldChar w:fldCharType="end"/>
      </w:r>
    </w:p>
    <w:p w14:paraId="366CE433"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Hammersley Inlet and Oakland Bay</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_Toc463000042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93</w:t>
      </w:r>
      <w:r w:rsidRPr="00B90508">
        <w:rPr>
          <w:rFonts w:eastAsiaTheme="minorEastAsia"/>
          <w:noProof/>
          <w:sz w:val="20"/>
          <w:szCs w:val="20"/>
        </w:rPr>
        <w:fldChar w:fldCharType="end"/>
      </w:r>
    </w:p>
    <w:p w14:paraId="0A7B4B54"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Harstene Island Group</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_Toc463000043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93</w:t>
      </w:r>
      <w:r w:rsidRPr="00B90508">
        <w:rPr>
          <w:rFonts w:eastAsiaTheme="minorEastAsia"/>
          <w:noProof/>
          <w:sz w:val="20"/>
          <w:szCs w:val="20"/>
        </w:rPr>
        <w:fldChar w:fldCharType="end"/>
      </w:r>
    </w:p>
    <w:p w14:paraId="37057DFA"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Henderson Inlet</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_Toc463000044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94</w:t>
      </w:r>
      <w:r w:rsidRPr="00B90508">
        <w:rPr>
          <w:rFonts w:eastAsiaTheme="minorEastAsia"/>
          <w:noProof/>
          <w:sz w:val="20"/>
          <w:szCs w:val="20"/>
        </w:rPr>
        <w:fldChar w:fldCharType="end"/>
      </w:r>
    </w:p>
    <w:p w14:paraId="68BEBCF4"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Totten &amp; Little Skookum Inlets</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_Toc463000045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94</w:t>
      </w:r>
      <w:r w:rsidRPr="00B90508">
        <w:rPr>
          <w:rFonts w:eastAsiaTheme="minorEastAsia"/>
          <w:noProof/>
          <w:sz w:val="20"/>
          <w:szCs w:val="20"/>
        </w:rPr>
        <w:fldChar w:fldCharType="end"/>
      </w:r>
    </w:p>
    <w:p w14:paraId="7863D45F" w14:textId="77777777" w:rsidR="00B90508" w:rsidRPr="00B90508" w:rsidRDefault="00B90508" w:rsidP="00B90508">
      <w:pPr>
        <w:tabs>
          <w:tab w:val="right" w:leader="dot" w:pos="9350"/>
        </w:tabs>
        <w:spacing w:after="0" w:line="276" w:lineRule="auto"/>
        <w:ind w:left="450"/>
        <w:rPr>
          <w:rFonts w:eastAsiaTheme="minorEastAsia"/>
          <w:noProof/>
        </w:rPr>
      </w:pPr>
      <w:r w:rsidRPr="00B90508">
        <w:rPr>
          <w:rFonts w:eastAsiaTheme="minorEastAsia"/>
          <w:noProof/>
          <w:sz w:val="20"/>
          <w:szCs w:val="20"/>
        </w:rPr>
        <w:t>McNeil Island Group</w:t>
      </w:r>
      <w:r w:rsidRPr="00B90508">
        <w:rPr>
          <w:rFonts w:eastAsiaTheme="minorEastAsia"/>
          <w:noProof/>
          <w:sz w:val="20"/>
          <w:szCs w:val="20"/>
        </w:rPr>
        <w:tab/>
      </w:r>
      <w:r w:rsidRPr="00B90508">
        <w:rPr>
          <w:rFonts w:eastAsiaTheme="minorEastAsia"/>
          <w:noProof/>
          <w:sz w:val="20"/>
          <w:szCs w:val="20"/>
        </w:rPr>
        <w:fldChar w:fldCharType="begin"/>
      </w:r>
      <w:r w:rsidRPr="00B90508">
        <w:rPr>
          <w:rFonts w:eastAsiaTheme="minorEastAsia"/>
          <w:noProof/>
          <w:sz w:val="20"/>
          <w:szCs w:val="20"/>
        </w:rPr>
        <w:instrText xml:space="preserve"> PAGEREF _Toc463000046 \h </w:instrText>
      </w:r>
      <w:r w:rsidRPr="00B90508">
        <w:rPr>
          <w:rFonts w:eastAsiaTheme="minorEastAsia"/>
          <w:noProof/>
          <w:sz w:val="20"/>
          <w:szCs w:val="20"/>
        </w:rPr>
      </w:r>
      <w:r w:rsidRPr="00B90508">
        <w:rPr>
          <w:rFonts w:eastAsiaTheme="minorEastAsia"/>
          <w:noProof/>
          <w:sz w:val="20"/>
          <w:szCs w:val="20"/>
        </w:rPr>
        <w:fldChar w:fldCharType="separate"/>
      </w:r>
      <w:r w:rsidRPr="00B90508">
        <w:rPr>
          <w:rFonts w:eastAsiaTheme="minorEastAsia"/>
          <w:noProof/>
          <w:sz w:val="20"/>
          <w:szCs w:val="20"/>
        </w:rPr>
        <w:t>94</w:t>
      </w:r>
      <w:r w:rsidRPr="00B90508">
        <w:rPr>
          <w:rFonts w:eastAsiaTheme="minorEastAsia"/>
          <w:noProof/>
          <w:sz w:val="20"/>
          <w:szCs w:val="20"/>
        </w:rPr>
        <w:fldChar w:fldCharType="end"/>
      </w:r>
    </w:p>
    <w:p w14:paraId="28D74AC2" w14:textId="77777777" w:rsidR="00B90508" w:rsidRPr="00B90508" w:rsidRDefault="00B90508" w:rsidP="00B90508">
      <w:pPr>
        <w:spacing w:after="0" w:line="276" w:lineRule="auto"/>
        <w:rPr>
          <w:rFonts w:eastAsiaTheme="minorEastAsia"/>
        </w:rPr>
      </w:pPr>
      <w:r w:rsidRPr="00B90508">
        <w:rPr>
          <w:rFonts w:eastAsiaTheme="minorEastAsia"/>
          <w:sz w:val="20"/>
          <w:szCs w:val="20"/>
        </w:rPr>
        <w:fldChar w:fldCharType="end"/>
      </w:r>
      <w:r w:rsidRPr="00B90508">
        <w:rPr>
          <w:rFonts w:eastAsiaTheme="minorEastAsia"/>
        </w:rPr>
        <w:br w:type="page"/>
      </w:r>
    </w:p>
    <w:p w14:paraId="665BACE5" w14:textId="77777777" w:rsidR="00B90508" w:rsidRPr="00B90508" w:rsidRDefault="00B90508" w:rsidP="00B90508">
      <w:pPr>
        <w:spacing w:line="276" w:lineRule="auto"/>
        <w:rPr>
          <w:rFonts w:eastAsiaTheme="minorEastAsia"/>
        </w:rPr>
        <w:sectPr w:rsidR="00B90508" w:rsidRPr="00B90508" w:rsidSect="00B90508">
          <w:headerReference w:type="default" r:id="rId51"/>
          <w:footerReference w:type="default" r:id="rId52"/>
          <w:headerReference w:type="first" r:id="rId53"/>
          <w:pgSz w:w="12240" w:h="15840"/>
          <w:pgMar w:top="1440" w:right="1440" w:bottom="1440" w:left="1440" w:header="720" w:footer="720" w:gutter="0"/>
          <w:pgNumType w:start="1"/>
          <w:cols w:space="720"/>
          <w:titlePg/>
          <w:docGrid w:linePitch="299"/>
        </w:sectPr>
      </w:pPr>
    </w:p>
    <w:p w14:paraId="6604C4C6"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114" w:name="_Toc462999992"/>
      <w:r w:rsidRPr="00B90508">
        <w:rPr>
          <w:rFonts w:eastAsiaTheme="majorEastAsia" w:cstheme="minorHAnsi"/>
          <w:b/>
          <w:color w:val="FFFFFF" w:themeColor="background1"/>
          <w:sz w:val="36"/>
          <w:szCs w:val="36"/>
        </w:rPr>
        <w:lastRenderedPageBreak/>
        <w:t>Executive Summary</w:t>
      </w:r>
      <w:bookmarkEnd w:id="114"/>
    </w:p>
    <w:p w14:paraId="5FFDDC3C" w14:textId="77777777" w:rsidR="00B90508" w:rsidRPr="00B90508" w:rsidRDefault="00B90508" w:rsidP="00B90508">
      <w:pPr>
        <w:spacing w:line="276" w:lineRule="auto"/>
        <w:rPr>
          <w:rFonts w:eastAsiaTheme="minorEastAsia"/>
        </w:rPr>
      </w:pPr>
      <w:r w:rsidRPr="00B90508">
        <w:rPr>
          <w:rFonts w:eastAsiaTheme="minorEastAsia"/>
        </w:rPr>
        <w:t>[Placeholder]</w:t>
      </w:r>
    </w:p>
    <w:p w14:paraId="28F6D0C0" w14:textId="77777777" w:rsidR="00B90508" w:rsidRPr="00B90508" w:rsidRDefault="00B90508" w:rsidP="00B90508">
      <w:pPr>
        <w:spacing w:line="276" w:lineRule="auto"/>
        <w:rPr>
          <w:rFonts w:eastAsiaTheme="minorEastAsia"/>
        </w:rPr>
      </w:pPr>
    </w:p>
    <w:p w14:paraId="1FB31F42" w14:textId="77777777" w:rsidR="00B90508" w:rsidRPr="00B90508" w:rsidRDefault="00B90508" w:rsidP="00B90508">
      <w:pPr>
        <w:spacing w:line="276" w:lineRule="auto"/>
        <w:rPr>
          <w:rFonts w:eastAsiaTheme="minorEastAsia"/>
        </w:rPr>
      </w:pPr>
    </w:p>
    <w:p w14:paraId="35C2E1B9" w14:textId="77777777" w:rsidR="00B90508" w:rsidRPr="00B90508" w:rsidRDefault="00B90508" w:rsidP="00B90508">
      <w:pPr>
        <w:rPr>
          <w:rFonts w:eastAsiaTheme="minorEastAsia"/>
        </w:rPr>
      </w:pPr>
      <w:r w:rsidRPr="00B90508">
        <w:rPr>
          <w:rFonts w:eastAsiaTheme="minorEastAsia"/>
        </w:rPr>
        <w:br w:type="page"/>
      </w:r>
    </w:p>
    <w:p w14:paraId="105A3945"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115" w:name="_Toc462999993"/>
      <w:r w:rsidRPr="00B90508">
        <w:rPr>
          <w:rFonts w:eastAsiaTheme="majorEastAsia" w:cstheme="minorHAnsi"/>
          <w:b/>
          <w:color w:val="FFFFFF" w:themeColor="background1"/>
          <w:sz w:val="36"/>
          <w:szCs w:val="36"/>
        </w:rPr>
        <w:lastRenderedPageBreak/>
        <w:t>Introduction</w:t>
      </w:r>
      <w:bookmarkEnd w:id="115"/>
    </w:p>
    <w:p w14:paraId="7053D558" w14:textId="77777777" w:rsidR="00B90508" w:rsidRPr="00B90508" w:rsidRDefault="00B90508" w:rsidP="00B90508">
      <w:pPr>
        <w:spacing w:line="276" w:lineRule="auto"/>
        <w:rPr>
          <w:rFonts w:eastAsiaTheme="minorEastAsia"/>
        </w:rPr>
      </w:pPr>
      <w:r w:rsidRPr="00B90508">
        <w:rPr>
          <w:rFonts w:eastAsiaTheme="minorEastAsia"/>
        </w:rPr>
        <w:t xml:space="preserve">The South Sound Strategy (Strategy) was developed between late 2015 and fall 2016 by the Alliance for a Healthy South Sound, through funding from the Puget Sound Partnership. The Strategy is intended to guide decision making about ecosystem restoration and recovery in South Puget Sound by compiling the most up-to-date, high quality data on key South Sound ecosystem focus areas, science-based priorities for what work to do where, and basic conceptual models that demonstrate why and how working on key South Sound focus areas will contribute to Puget Sound recovery. </w:t>
      </w:r>
    </w:p>
    <w:p w14:paraId="5B2C8388" w14:textId="77777777" w:rsidR="00B90508" w:rsidRPr="00B90508" w:rsidRDefault="00B90508" w:rsidP="00B90508">
      <w:pPr>
        <w:spacing w:line="276" w:lineRule="auto"/>
        <w:rPr>
          <w:rFonts w:eastAsiaTheme="minorEastAsia"/>
        </w:rPr>
      </w:pPr>
      <w:r w:rsidRPr="00B90508">
        <w:rPr>
          <w:rFonts w:eastAsiaTheme="minorEastAsia"/>
        </w:rPr>
        <w:t xml:space="preserve">The Strategy is organized around nine ecosystem focus areas (e.g., forests) and 18 attributes that further represent those focus areas (e.g., forest cover). For nine attributes, the Strategy establishes protection and recovery targets at both a local scale (“Inlet/Island group”) and the entire South Sound scale. The Strategy will be revised by updating the existing data on key attributes, filling data gaps as new data sources are developed, and adaptive management. </w:t>
      </w:r>
    </w:p>
    <w:p w14:paraId="55BEEE44"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116" w:name="_hr9ao6pkfd4l" w:colFirst="0" w:colLast="0"/>
      <w:bookmarkStart w:id="117" w:name="_Toc462999994"/>
      <w:bookmarkEnd w:id="116"/>
      <w:r w:rsidRPr="00B90508">
        <w:rPr>
          <w:rFonts w:asciiTheme="majorHAnsi" w:eastAsiaTheme="majorEastAsia" w:hAnsiTheme="majorHAnsi" w:cstheme="majorBidi"/>
          <w:color w:val="2B5A8E"/>
          <w:sz w:val="32"/>
          <w:szCs w:val="32"/>
          <w:u w:color="33CC33"/>
        </w:rPr>
        <w:t>Vision for the South Sound Strategy</w:t>
      </w:r>
      <w:bookmarkEnd w:id="117"/>
    </w:p>
    <w:p w14:paraId="18C79C32" w14:textId="77777777" w:rsidR="00B90508" w:rsidRPr="00B90508" w:rsidRDefault="00B90508" w:rsidP="00B90508">
      <w:pPr>
        <w:spacing w:line="276" w:lineRule="auto"/>
        <w:rPr>
          <w:rFonts w:eastAsiaTheme="minorEastAsia"/>
        </w:rPr>
      </w:pPr>
      <w:r w:rsidRPr="00B90508">
        <w:rPr>
          <w:rFonts w:eastAsiaTheme="minorEastAsia"/>
        </w:rPr>
        <w:t>The South Sound Strategy uses high quality data to describe the ecological processes occurring at the Inlet/Island scale in South Puget Sound, and opportunities to improve these processes. It also describes ongoing natural resource management efforts by South Sound organizations, and provides a framework by which these entities can make practical and opportunistic decisions around future priority preservation and restoration work.</w:t>
      </w:r>
    </w:p>
    <w:p w14:paraId="3CBFD672"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118" w:name="_n5r9188ejngu" w:colFirst="0" w:colLast="0"/>
      <w:bookmarkStart w:id="119" w:name="_Toc462999995"/>
      <w:bookmarkEnd w:id="118"/>
      <w:r w:rsidRPr="00B90508">
        <w:rPr>
          <w:rFonts w:asciiTheme="majorHAnsi" w:eastAsiaTheme="majorEastAsia" w:hAnsiTheme="majorHAnsi" w:cstheme="majorBidi"/>
          <w:color w:val="2B5A8E"/>
          <w:sz w:val="32"/>
          <w:szCs w:val="32"/>
          <w:u w:color="33CC33"/>
        </w:rPr>
        <w:t>Purpose of the South Sound Strategy</w:t>
      </w:r>
      <w:bookmarkEnd w:id="119"/>
    </w:p>
    <w:p w14:paraId="2692BAAB" w14:textId="77777777" w:rsidR="00B90508" w:rsidRPr="00B90508" w:rsidRDefault="00B90508" w:rsidP="00B90508">
      <w:pPr>
        <w:spacing w:line="276" w:lineRule="auto"/>
        <w:rPr>
          <w:rFonts w:eastAsiaTheme="minorEastAsia"/>
        </w:rPr>
      </w:pPr>
      <w:r w:rsidRPr="00B90508">
        <w:rPr>
          <w:rFonts w:eastAsiaTheme="minorEastAsia"/>
        </w:rPr>
        <w:t>The South Sound Strategy is intended to serve the following purposes:</w:t>
      </w:r>
    </w:p>
    <w:p w14:paraId="660FF122" w14:textId="77777777" w:rsidR="00B90508" w:rsidRPr="00B90508" w:rsidRDefault="00B90508" w:rsidP="00B90508">
      <w:pPr>
        <w:numPr>
          <w:ilvl w:val="0"/>
          <w:numId w:val="24"/>
        </w:numPr>
        <w:spacing w:line="276" w:lineRule="auto"/>
        <w:contextualSpacing/>
        <w:rPr>
          <w:rFonts w:eastAsiaTheme="minorEastAsia"/>
          <w:b/>
        </w:rPr>
      </w:pPr>
      <w:r w:rsidRPr="00B90508">
        <w:rPr>
          <w:rFonts w:eastAsiaTheme="minorEastAsia"/>
        </w:rPr>
        <w:t>Summarize and synthesize current, verifiable knowledge of South Sound ecosystems in a concise and usable format, including: status and trends, key threats and problems, and ongoing work</w:t>
      </w:r>
    </w:p>
    <w:p w14:paraId="0CA29C57" w14:textId="77777777" w:rsidR="00B90508" w:rsidRPr="00B90508" w:rsidRDefault="00B90508" w:rsidP="00B90508">
      <w:pPr>
        <w:numPr>
          <w:ilvl w:val="0"/>
          <w:numId w:val="24"/>
        </w:numPr>
        <w:spacing w:line="276" w:lineRule="auto"/>
        <w:contextualSpacing/>
        <w:rPr>
          <w:rFonts w:eastAsiaTheme="minorEastAsia"/>
          <w:b/>
        </w:rPr>
      </w:pPr>
      <w:r w:rsidRPr="00B90508">
        <w:rPr>
          <w:rFonts w:eastAsiaTheme="minorEastAsia"/>
        </w:rPr>
        <w:t>Identify and describe overall South Sound recovery focus areas and broad goals</w:t>
      </w:r>
    </w:p>
    <w:p w14:paraId="55547A2A" w14:textId="77777777" w:rsidR="00B90508" w:rsidRPr="00B90508" w:rsidRDefault="00B90508" w:rsidP="00B90508">
      <w:pPr>
        <w:numPr>
          <w:ilvl w:val="0"/>
          <w:numId w:val="24"/>
        </w:numPr>
        <w:spacing w:line="276" w:lineRule="auto"/>
        <w:contextualSpacing/>
        <w:rPr>
          <w:rFonts w:eastAsiaTheme="minorEastAsia"/>
          <w:b/>
        </w:rPr>
      </w:pPr>
      <w:r w:rsidRPr="00B90508">
        <w:rPr>
          <w:rFonts w:eastAsiaTheme="minorEastAsia"/>
        </w:rPr>
        <w:t>Identify and describe quantifiable recovery objectives at an inlet/island group scale</w:t>
      </w:r>
    </w:p>
    <w:p w14:paraId="24DF7ED1" w14:textId="77777777" w:rsidR="00B90508" w:rsidRPr="00B90508" w:rsidRDefault="00B90508" w:rsidP="00B90508">
      <w:pPr>
        <w:numPr>
          <w:ilvl w:val="0"/>
          <w:numId w:val="24"/>
        </w:numPr>
        <w:spacing w:line="276" w:lineRule="auto"/>
        <w:contextualSpacing/>
        <w:rPr>
          <w:rFonts w:eastAsiaTheme="minorEastAsia"/>
          <w:b/>
        </w:rPr>
      </w:pPr>
      <w:r w:rsidRPr="00B90508">
        <w:rPr>
          <w:rFonts w:eastAsiaTheme="minorEastAsia"/>
        </w:rPr>
        <w:t>Identify and prioritize recovery strategies and opportunities and needs on an inlet/ island group basis</w:t>
      </w:r>
    </w:p>
    <w:p w14:paraId="2D10DE6F" w14:textId="77777777" w:rsidR="00B90508" w:rsidRPr="00B90508" w:rsidRDefault="00B90508" w:rsidP="00B90508">
      <w:pPr>
        <w:numPr>
          <w:ilvl w:val="0"/>
          <w:numId w:val="24"/>
        </w:numPr>
        <w:spacing w:line="276" w:lineRule="auto"/>
        <w:contextualSpacing/>
        <w:rPr>
          <w:rFonts w:eastAsiaTheme="minorEastAsia"/>
          <w:b/>
        </w:rPr>
      </w:pPr>
      <w:r w:rsidRPr="00B90508">
        <w:rPr>
          <w:rFonts w:eastAsiaTheme="minorEastAsia"/>
        </w:rPr>
        <w:t>Identify key gaps in information and understanding</w:t>
      </w:r>
    </w:p>
    <w:p w14:paraId="7B321F3D" w14:textId="77777777" w:rsidR="00B90508" w:rsidRPr="00B90508" w:rsidRDefault="00B90508" w:rsidP="00B90508">
      <w:pPr>
        <w:numPr>
          <w:ilvl w:val="0"/>
          <w:numId w:val="24"/>
        </w:numPr>
        <w:spacing w:line="276" w:lineRule="auto"/>
        <w:contextualSpacing/>
        <w:rPr>
          <w:rFonts w:eastAsiaTheme="minorEastAsia"/>
          <w:b/>
        </w:rPr>
      </w:pPr>
      <w:bookmarkStart w:id="120" w:name="_9d7vvo9cpubl" w:colFirst="0" w:colLast="0"/>
      <w:bookmarkEnd w:id="120"/>
      <w:r w:rsidRPr="00B90508">
        <w:rPr>
          <w:rFonts w:eastAsiaTheme="minorEastAsia"/>
        </w:rPr>
        <w:t>Serve as a guiding document for AHSS and partners</w:t>
      </w:r>
    </w:p>
    <w:p w14:paraId="4CE55BF9"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121" w:name="_cyhfrdkmdgtu" w:colFirst="0" w:colLast="0"/>
      <w:bookmarkStart w:id="122" w:name="_Toc462999996"/>
      <w:bookmarkEnd w:id="121"/>
      <w:r w:rsidRPr="00B90508">
        <w:rPr>
          <w:rFonts w:asciiTheme="majorHAnsi" w:eastAsiaTheme="majorEastAsia" w:hAnsiTheme="majorHAnsi" w:cstheme="majorBidi"/>
          <w:color w:val="2B5A8E"/>
          <w:sz w:val="32"/>
          <w:szCs w:val="32"/>
          <w:u w:color="33CC33"/>
        </w:rPr>
        <w:t>South Puget Sound Overview</w:t>
      </w:r>
      <w:bookmarkEnd w:id="122"/>
    </w:p>
    <w:p w14:paraId="16064031" w14:textId="77777777" w:rsidR="00B90508" w:rsidRPr="00B90508" w:rsidRDefault="00B90508" w:rsidP="00B90508">
      <w:pPr>
        <w:widowControl w:val="0"/>
        <w:spacing w:line="276" w:lineRule="auto"/>
        <w:rPr>
          <w:rFonts w:eastAsiaTheme="minorEastAsia"/>
        </w:rPr>
      </w:pPr>
      <w:bookmarkStart w:id="123" w:name="_svol15ej15xj" w:colFirst="0" w:colLast="0"/>
      <w:bookmarkEnd w:id="123"/>
      <w:r w:rsidRPr="00B90508">
        <w:rPr>
          <w:rFonts w:eastAsiaTheme="minorEastAsia"/>
        </w:rPr>
        <w:t xml:space="preserve">South Puget Sound is the southern end of the larger Puget Sound fjord estuary complex, separated from central Puget Sound by a narrow, shallow sill associated with the Tacoma Narrows. </w:t>
      </w:r>
    </w:p>
    <w:p w14:paraId="08D95E63" w14:textId="77777777" w:rsidR="00B90508" w:rsidRPr="00B90508" w:rsidRDefault="00B90508" w:rsidP="00B90508">
      <w:pPr>
        <w:spacing w:after="360" w:line="276" w:lineRule="auto"/>
        <w:rPr>
          <w:rFonts w:eastAsiaTheme="minorEastAsia"/>
        </w:rPr>
      </w:pPr>
      <w:bookmarkStart w:id="124" w:name="_z5kpguof7fpn" w:colFirst="0" w:colLast="0"/>
      <w:bookmarkEnd w:id="124"/>
      <w:r w:rsidRPr="00B90508">
        <w:rPr>
          <w:rFonts w:eastAsiaTheme="minorEastAsia"/>
          <w:noProof/>
        </w:rPr>
        <w:lastRenderedPageBreak/>
        <w:drawing>
          <wp:inline distT="114300" distB="114300" distL="114300" distR="114300" wp14:anchorId="286E2DEC" wp14:editId="25E48782">
            <wp:extent cx="5943600" cy="6313251"/>
            <wp:effectExtent l="19050" t="19050" r="19050" b="11430"/>
            <wp:docPr id="200" name="image01.png" descr="ActionAgenda_South (2)"/>
            <wp:cNvGraphicFramePr/>
            <a:graphic xmlns:a="http://schemas.openxmlformats.org/drawingml/2006/main">
              <a:graphicData uri="http://schemas.openxmlformats.org/drawingml/2006/picture">
                <pic:pic xmlns:pic="http://schemas.openxmlformats.org/drawingml/2006/picture">
                  <pic:nvPicPr>
                    <pic:cNvPr id="0" name="image01.png" descr="ActionAgenda_South (2)"/>
                    <pic:cNvPicPr preferRelativeResize="0"/>
                  </pic:nvPicPr>
                  <pic:blipFill rotWithShape="1">
                    <a:blip r:embed="rId54"/>
                    <a:srcRect l="1473" t="758" b="793"/>
                    <a:stretch/>
                  </pic:blipFill>
                  <pic:spPr bwMode="auto">
                    <a:xfrm>
                      <a:off x="0" y="0"/>
                      <a:ext cx="5943600" cy="6313251"/>
                    </a:xfrm>
                    <a:prstGeom prst="rect">
                      <a:avLst/>
                    </a:prstGeom>
                    <a:ln>
                      <a:solidFill>
                        <a:sysClr val="windowText" lastClr="000000"/>
                      </a:solidFill>
                    </a:ln>
                    <a:extLst>
                      <a:ext uri="{53640926-AAD7-44D8-BBD7-CCE9431645EC}">
                        <a14:shadowObscured xmlns:a14="http://schemas.microsoft.com/office/drawing/2010/main"/>
                      </a:ext>
                    </a:extLst>
                  </pic:spPr>
                </pic:pic>
              </a:graphicData>
            </a:graphic>
          </wp:inline>
        </w:drawing>
      </w:r>
    </w:p>
    <w:p w14:paraId="1606B37D" w14:textId="77777777" w:rsidR="00B90508" w:rsidRPr="00B90508" w:rsidRDefault="00B90508" w:rsidP="00B90508">
      <w:pPr>
        <w:spacing w:line="276" w:lineRule="auto"/>
        <w:rPr>
          <w:rFonts w:eastAsiaTheme="minorEastAsia"/>
        </w:rPr>
      </w:pPr>
      <w:bookmarkStart w:id="125" w:name="_gfe3j9ypduxn" w:colFirst="0" w:colLast="0"/>
      <w:bookmarkStart w:id="126" w:name="_886zmmlwwssa" w:colFirst="0" w:colLast="0"/>
      <w:bookmarkEnd w:id="125"/>
      <w:bookmarkEnd w:id="126"/>
      <w:r w:rsidRPr="00B90508">
        <w:rPr>
          <w:rFonts w:eastAsiaTheme="minorEastAsia"/>
        </w:rPr>
        <w:t>The Deschutes River and the Nisqually River are the major river systems in South Puget Sound. In much of the South Sound, steep bluffs bordering Puget Sound are intersected by small, steep ravines that drain the upland areas. There are a number of estuarine bays and lagoons located along the shorelines where these streams intersect with Puget Sound. When combined, the numerous streams that drain into South Puget Sound rival the biological output of large Puget Sound river systems.</w:t>
      </w:r>
    </w:p>
    <w:p w14:paraId="1A208CBE" w14:textId="77777777" w:rsidR="00B90508" w:rsidRPr="00B90508" w:rsidRDefault="00B90508" w:rsidP="00B90508">
      <w:pPr>
        <w:spacing w:line="276" w:lineRule="auto"/>
        <w:rPr>
          <w:rFonts w:eastAsiaTheme="minorEastAsia"/>
        </w:rPr>
      </w:pPr>
      <w:r w:rsidRPr="00B90508">
        <w:rPr>
          <w:rFonts w:eastAsiaTheme="minorEastAsia"/>
        </w:rPr>
        <w:t xml:space="preserve">The total surface area of marine waters in South Puget Sound is approximately 394 square kilometers, and there are nearly 450 miles of shoreline. More than 50% of South Puget Sound is less than 35 meters </w:t>
      </w:r>
      <w:r w:rsidRPr="00B90508">
        <w:rPr>
          <w:rFonts w:eastAsiaTheme="minorEastAsia"/>
        </w:rPr>
        <w:lastRenderedPageBreak/>
        <w:t>deep, and only a very small percentage is deeper than 100 meters. Tidal ranges in South Sound are extensive, with maximum ranges upwards of 20 feet.</w:t>
      </w:r>
    </w:p>
    <w:p w14:paraId="6DC40FB1" w14:textId="77777777" w:rsidR="00B90508" w:rsidRPr="00B90508" w:rsidRDefault="00B90508" w:rsidP="00B90508">
      <w:pPr>
        <w:spacing w:line="276" w:lineRule="auto"/>
        <w:rPr>
          <w:rFonts w:eastAsiaTheme="minorEastAsia"/>
        </w:rPr>
      </w:pPr>
      <w:r w:rsidRPr="00B90508">
        <w:rPr>
          <w:rFonts w:eastAsiaTheme="minorEastAsia"/>
        </w:rPr>
        <w:t xml:space="preserve">Hydrographically, South Puget Sound is very different from the main basin of Puget Sound. Many of the larger-scale physical and chemical processes found in greater Puget Sound are muted or accentuated in the South Sound due to the shallow sill at the Tacoma Narrows. This presents a unique set of conditions for physical, chemical, and biological interactions. Much of the South Sound has slow circulation and sensitivity to nutrients, causing a trend to low dissolved oxygen. In addition, the shallow nature of South Puget Sound provides a greater amount of sandy and intertidal habitat, which makes many of the bays and inlets more productive than the rest of Puget Sound. </w:t>
      </w:r>
    </w:p>
    <w:p w14:paraId="159ADBC2" w14:textId="77777777" w:rsidR="00B90508" w:rsidRPr="00B90508" w:rsidRDefault="00B90508" w:rsidP="00B90508">
      <w:pPr>
        <w:spacing w:line="276" w:lineRule="auto"/>
        <w:rPr>
          <w:rFonts w:eastAsiaTheme="minorEastAsia"/>
        </w:rPr>
      </w:pPr>
      <w:r w:rsidRPr="00B90508">
        <w:rPr>
          <w:rFonts w:eastAsiaTheme="minorEastAsia"/>
        </w:rPr>
        <w:t>Five Watershed Resource Inventory Areas (WRIA) drain into South Puget Sound:</w:t>
      </w:r>
    </w:p>
    <w:p w14:paraId="70ED6F06" w14:textId="77777777" w:rsidR="00B90508" w:rsidRPr="00B90508" w:rsidRDefault="00B90508" w:rsidP="00B90508">
      <w:pPr>
        <w:numPr>
          <w:ilvl w:val="0"/>
          <w:numId w:val="57"/>
        </w:numPr>
        <w:spacing w:line="276" w:lineRule="auto"/>
        <w:contextualSpacing/>
        <w:rPr>
          <w:rFonts w:eastAsiaTheme="minorEastAsia"/>
        </w:rPr>
      </w:pPr>
      <w:r w:rsidRPr="00B90508">
        <w:rPr>
          <w:rFonts w:eastAsiaTheme="minorEastAsia"/>
        </w:rPr>
        <w:t>WRIA 11 – Nisqually</w:t>
      </w:r>
    </w:p>
    <w:p w14:paraId="5FC9394E" w14:textId="77777777" w:rsidR="00B90508" w:rsidRPr="00B90508" w:rsidRDefault="00B90508" w:rsidP="00B90508">
      <w:pPr>
        <w:numPr>
          <w:ilvl w:val="0"/>
          <w:numId w:val="57"/>
        </w:numPr>
        <w:spacing w:line="276" w:lineRule="auto"/>
        <w:contextualSpacing/>
        <w:rPr>
          <w:rFonts w:eastAsiaTheme="minorEastAsia"/>
        </w:rPr>
      </w:pPr>
      <w:r w:rsidRPr="00B90508">
        <w:rPr>
          <w:rFonts w:eastAsiaTheme="minorEastAsia"/>
        </w:rPr>
        <w:t>WRIA 12 – Chambers-Clover</w:t>
      </w:r>
    </w:p>
    <w:p w14:paraId="45A8568D" w14:textId="77777777" w:rsidR="00B90508" w:rsidRPr="00B90508" w:rsidRDefault="00B90508" w:rsidP="00B90508">
      <w:pPr>
        <w:numPr>
          <w:ilvl w:val="0"/>
          <w:numId w:val="57"/>
        </w:numPr>
        <w:spacing w:line="276" w:lineRule="auto"/>
        <w:contextualSpacing/>
        <w:rPr>
          <w:rFonts w:eastAsiaTheme="minorEastAsia"/>
        </w:rPr>
      </w:pPr>
      <w:r w:rsidRPr="00B90508">
        <w:rPr>
          <w:rFonts w:eastAsiaTheme="minorEastAsia"/>
        </w:rPr>
        <w:t>WRIA 13 – Deschutes</w:t>
      </w:r>
    </w:p>
    <w:p w14:paraId="660D4AAB" w14:textId="77777777" w:rsidR="00B90508" w:rsidRPr="00B90508" w:rsidRDefault="00B90508" w:rsidP="00B90508">
      <w:pPr>
        <w:numPr>
          <w:ilvl w:val="0"/>
          <w:numId w:val="57"/>
        </w:numPr>
        <w:spacing w:line="276" w:lineRule="auto"/>
        <w:contextualSpacing/>
        <w:rPr>
          <w:rFonts w:eastAsiaTheme="minorEastAsia"/>
        </w:rPr>
      </w:pPr>
      <w:r w:rsidRPr="00B90508">
        <w:rPr>
          <w:rFonts w:eastAsiaTheme="minorEastAsia"/>
        </w:rPr>
        <w:t>WRIA 14 – Kennedy-Goldsborough</w:t>
      </w:r>
    </w:p>
    <w:p w14:paraId="26F66E18" w14:textId="77777777" w:rsidR="00B90508" w:rsidRPr="00B90508" w:rsidRDefault="00B90508" w:rsidP="00B90508">
      <w:pPr>
        <w:numPr>
          <w:ilvl w:val="0"/>
          <w:numId w:val="57"/>
        </w:numPr>
        <w:spacing w:line="276" w:lineRule="auto"/>
        <w:rPr>
          <w:rFonts w:eastAsiaTheme="minorEastAsia"/>
        </w:rPr>
      </w:pPr>
      <w:r w:rsidRPr="00B90508">
        <w:rPr>
          <w:rFonts w:eastAsiaTheme="minorEastAsia"/>
        </w:rPr>
        <w:t>WRIA 15 – Kitsap</w:t>
      </w:r>
    </w:p>
    <w:p w14:paraId="56EA5EBE" w14:textId="77777777" w:rsidR="00B90508" w:rsidRPr="00B90508" w:rsidRDefault="00B90508" w:rsidP="00B90508">
      <w:pPr>
        <w:spacing w:line="276" w:lineRule="auto"/>
        <w:rPr>
          <w:rFonts w:eastAsiaTheme="minorEastAsia"/>
        </w:rPr>
      </w:pPr>
      <w:r w:rsidRPr="00B90508">
        <w:rPr>
          <w:rFonts w:eastAsiaTheme="minorEastAsia"/>
        </w:rPr>
        <w:t>Of these five WRIA, only the Nisqually, Deschutes, and Kennedy-Goldsborough WRIA drain exclusively into South Puget Sound. WRIA 15-Kitsap shares its drainage with Central Puget Sound north of the Tacoma Narrows and Hood Canal. WRIA 12 - Chambers-Clover also extends north of the Tacoma Narrows to Commencement Bay.</w:t>
      </w:r>
    </w:p>
    <w:p w14:paraId="7841788F" w14:textId="77777777" w:rsidR="00B90508" w:rsidRPr="00B90508" w:rsidRDefault="00B90508" w:rsidP="00B90508">
      <w:pPr>
        <w:spacing w:line="276" w:lineRule="auto"/>
        <w:rPr>
          <w:rFonts w:eastAsiaTheme="minorEastAsia"/>
        </w:rPr>
      </w:pPr>
      <w:r w:rsidRPr="00B90508">
        <w:rPr>
          <w:rFonts w:eastAsiaTheme="minorEastAsia"/>
        </w:rPr>
        <w:t>Because of its stable and diverse economy, high quality of life, and relatively lower cost of living, South Puget Sound is among the fastest growing areas in Washington State. Between 2000 and 2010, the populations of Mason and Thurston Counties grew by 22%, the 4th and 6th highest rates of growth among Washington State counties during that time; Pierce County grew at 14%. Between 2015 and 2040, the Office of Financial Management projects a population growth rate of 34% for Mason and Thurston Counties, and a growth rate of 25% for Pierce County.</w:t>
      </w:r>
    </w:p>
    <w:p w14:paraId="02BB087A" w14:textId="77777777" w:rsidR="00B90508" w:rsidRPr="00B90508" w:rsidRDefault="00B90508" w:rsidP="00B90508">
      <w:pPr>
        <w:spacing w:line="276" w:lineRule="auto"/>
        <w:rPr>
          <w:rFonts w:eastAsiaTheme="minorEastAsia"/>
        </w:rPr>
      </w:pPr>
      <w:r w:rsidRPr="00B90508">
        <w:rPr>
          <w:rFonts w:eastAsiaTheme="minorEastAsia"/>
        </w:rPr>
        <w:t>Much of the population in South Sound is clustered in and around the towns and cities of Shelton, Olympia, Lacey, Tumwater, Steilacoom, University Place, Lakewood, Tacoma, DuPont, the community of Allyn, and along shorelines. Land use varies from urban populations to rural and mixed use.</w:t>
      </w:r>
    </w:p>
    <w:p w14:paraId="5C40F3FB" w14:textId="77777777" w:rsidR="00B90508" w:rsidRPr="00B90508" w:rsidRDefault="00B90508" w:rsidP="00B90508">
      <w:pPr>
        <w:spacing w:line="276" w:lineRule="auto"/>
        <w:rPr>
          <w:rFonts w:eastAsiaTheme="minorEastAsia"/>
        </w:rPr>
      </w:pPr>
      <w:r w:rsidRPr="00B90508">
        <w:rPr>
          <w:rFonts w:eastAsiaTheme="minorEastAsia"/>
        </w:rPr>
        <w:t>The waters of the South Sound provide some of the finest shellfish habitat in the world and present an array of recreational, commercial, and tribal harvest opportunities. Washington leads the country in production of farmed clams, oysters, and mussels, with an annual economic impact of over $185 million, and Washington shellfish growers directly and indirectly employ over 2,700 people. The commercial shellfish industry is thriving, demand is expanding in markets worldwide, and clean water is the essential catalyst for continued success. Recreational use of the shorelines for clam digging, swimming, boating, fishing, and beachcombing on state, county, city, and private beaches is popular.</w:t>
      </w:r>
    </w:p>
    <w:p w14:paraId="42DCBED9" w14:textId="77777777" w:rsidR="00B90508" w:rsidRPr="00B90508" w:rsidRDefault="00B90508" w:rsidP="00B90508">
      <w:pPr>
        <w:spacing w:line="276" w:lineRule="auto"/>
        <w:rPr>
          <w:rFonts w:eastAsiaTheme="minorEastAsia"/>
        </w:rPr>
      </w:pPr>
      <w:r w:rsidRPr="00B90508">
        <w:rPr>
          <w:rFonts w:eastAsiaTheme="minorEastAsia"/>
        </w:rPr>
        <w:t xml:space="preserve">Use of marine waters and nearshore areas by juvenile salmon and trout rates high in South Puget Sound, not only for salmonids coming from freshwater systems in the area, but also during summer when </w:t>
      </w:r>
      <w:r w:rsidRPr="00B90508">
        <w:rPr>
          <w:rFonts w:eastAsiaTheme="minorEastAsia"/>
        </w:rPr>
        <w:lastRenderedPageBreak/>
        <w:t>salmon from elsewhere in Puget Sound, and even British Columbia, are known to feed in the rich South Sound.</w:t>
      </w:r>
    </w:p>
    <w:p w14:paraId="2992736F" w14:textId="77777777" w:rsidR="00B90508" w:rsidRPr="00B90508" w:rsidRDefault="00B90508" w:rsidP="00B90508">
      <w:pPr>
        <w:spacing w:line="276" w:lineRule="auto"/>
        <w:rPr>
          <w:rFonts w:eastAsiaTheme="minorEastAsia"/>
        </w:rPr>
      </w:pPr>
      <w:r w:rsidRPr="00B90508">
        <w:rPr>
          <w:rFonts w:eastAsiaTheme="minorEastAsia"/>
        </w:rPr>
        <w:t>The Alliance for a Healthy South Sound (AHSS) Executive Committee is comprised of representatives from the following organizations:</w:t>
      </w:r>
    </w:p>
    <w:p w14:paraId="726332AD" w14:textId="77777777" w:rsidR="00B90508" w:rsidRPr="00B90508" w:rsidRDefault="00B90508" w:rsidP="00B90508">
      <w:pPr>
        <w:numPr>
          <w:ilvl w:val="0"/>
          <w:numId w:val="14"/>
        </w:numPr>
        <w:spacing w:line="276" w:lineRule="auto"/>
        <w:contextualSpacing/>
        <w:rPr>
          <w:rFonts w:eastAsiaTheme="minorEastAsia"/>
        </w:rPr>
        <w:sectPr w:rsidR="00B90508" w:rsidRPr="00B90508" w:rsidSect="00B90508">
          <w:headerReference w:type="default" r:id="rId55"/>
          <w:footerReference w:type="default" r:id="rId56"/>
          <w:type w:val="continuous"/>
          <w:pgSz w:w="12240" w:h="15840" w:code="1"/>
          <w:pgMar w:top="1440" w:right="1440" w:bottom="1440" w:left="1440" w:header="720" w:footer="720" w:gutter="0"/>
          <w:pgNumType w:start="1"/>
          <w:cols w:space="720"/>
        </w:sectPr>
      </w:pPr>
    </w:p>
    <w:p w14:paraId="629C1061"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Nisqually Indian Tribe</w:t>
      </w:r>
    </w:p>
    <w:p w14:paraId="182D4B0F"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Mason County</w:t>
      </w:r>
    </w:p>
    <w:p w14:paraId="1CA52E8E"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Pierce County</w:t>
      </w:r>
    </w:p>
    <w:p w14:paraId="07F7C898"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Squaxin Island Tribe</w:t>
      </w:r>
    </w:p>
    <w:p w14:paraId="47D71BE0" w14:textId="77777777" w:rsidR="00B90508" w:rsidRPr="00B90508" w:rsidRDefault="00B90508" w:rsidP="00B90508">
      <w:pPr>
        <w:numPr>
          <w:ilvl w:val="0"/>
          <w:numId w:val="58"/>
        </w:numPr>
        <w:spacing w:line="276" w:lineRule="auto"/>
        <w:rPr>
          <w:rFonts w:eastAsiaTheme="minorEastAsia"/>
        </w:rPr>
      </w:pPr>
      <w:r w:rsidRPr="00B90508">
        <w:rPr>
          <w:rFonts w:eastAsiaTheme="minorEastAsia"/>
        </w:rPr>
        <w:t>Thurston County</w:t>
      </w:r>
    </w:p>
    <w:p w14:paraId="2255441B" w14:textId="77777777" w:rsidR="00B90508" w:rsidRPr="00B90508" w:rsidRDefault="00B90508" w:rsidP="00B90508">
      <w:pPr>
        <w:spacing w:before="360" w:line="276" w:lineRule="auto"/>
        <w:rPr>
          <w:rFonts w:eastAsiaTheme="minorEastAsia"/>
        </w:rPr>
        <w:sectPr w:rsidR="00B90508" w:rsidRPr="00B90508" w:rsidSect="00B90508">
          <w:type w:val="continuous"/>
          <w:pgSz w:w="12240" w:h="15840" w:code="1"/>
          <w:pgMar w:top="1440" w:right="1440" w:bottom="1440" w:left="1440" w:header="720" w:footer="720" w:gutter="0"/>
          <w:cols w:num="2" w:space="720"/>
        </w:sectPr>
      </w:pPr>
    </w:p>
    <w:p w14:paraId="3C229095" w14:textId="77777777" w:rsidR="00B90508" w:rsidRPr="00B90508" w:rsidRDefault="00B90508" w:rsidP="00B90508">
      <w:pPr>
        <w:spacing w:before="360" w:line="276" w:lineRule="auto"/>
        <w:rPr>
          <w:rFonts w:eastAsiaTheme="minorEastAsia"/>
        </w:rPr>
      </w:pPr>
      <w:r w:rsidRPr="00B90508">
        <w:rPr>
          <w:rFonts w:eastAsiaTheme="minorEastAsia"/>
        </w:rPr>
        <w:t>The AHSS Council consists of representatives from the following organizations:</w:t>
      </w:r>
    </w:p>
    <w:p w14:paraId="151176A1" w14:textId="77777777" w:rsidR="00B90508" w:rsidRPr="00B90508" w:rsidRDefault="00B90508" w:rsidP="00B90508">
      <w:pPr>
        <w:numPr>
          <w:ilvl w:val="0"/>
          <w:numId w:val="58"/>
        </w:numPr>
        <w:spacing w:line="276" w:lineRule="auto"/>
        <w:contextualSpacing/>
        <w:rPr>
          <w:rFonts w:eastAsiaTheme="minorEastAsia"/>
        </w:rPr>
        <w:sectPr w:rsidR="00B90508" w:rsidRPr="00B90508" w:rsidSect="00B90508">
          <w:type w:val="continuous"/>
          <w:pgSz w:w="12240" w:h="15840" w:code="1"/>
          <w:pgMar w:top="1440" w:right="1440" w:bottom="1440" w:left="1440" w:header="720" w:footer="720" w:gutter="0"/>
          <w:cols w:space="720"/>
        </w:sectPr>
      </w:pPr>
    </w:p>
    <w:p w14:paraId="5A00B170"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AHSS Representative to the ECB (currently Dan Wrye)</w:t>
      </w:r>
    </w:p>
    <w:p w14:paraId="67A4034E"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Capitol Lake Improvement &amp; Protection Association</w:t>
      </w:r>
    </w:p>
    <w:p w14:paraId="1A1FBD93"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Chambers-Clover Creek Watershed Council</w:t>
      </w:r>
    </w:p>
    <w:p w14:paraId="4EB87C01"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City of Tumwater</w:t>
      </w:r>
    </w:p>
    <w:p w14:paraId="167A16C5"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City of Olympia</w:t>
      </w:r>
    </w:p>
    <w:p w14:paraId="64C84653"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City of Lakewood</w:t>
      </w:r>
    </w:p>
    <w:p w14:paraId="723ED848"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Deschutes Estuary Restoration Team</w:t>
      </w:r>
    </w:p>
    <w:p w14:paraId="6FFC4534"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LOTT Clean Water Alliance</w:t>
      </w:r>
    </w:p>
    <w:p w14:paraId="3BF7D041"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Mason County</w:t>
      </w:r>
    </w:p>
    <w:p w14:paraId="2CFD2AE7"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Mason Conservation District</w:t>
      </w:r>
    </w:p>
    <w:p w14:paraId="076398DE"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Nisqually Indian Tribe</w:t>
      </w:r>
    </w:p>
    <w:p w14:paraId="12EC31ED"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Nisqually Land Trust</w:t>
      </w:r>
    </w:p>
    <w:p w14:paraId="0A440A32"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Nisqually River Council</w:t>
      </w:r>
    </w:p>
    <w:p w14:paraId="6F47E35F"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Oakland Bay Shellfish Protection Area</w:t>
      </w:r>
    </w:p>
    <w:p w14:paraId="33EAB118"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Pierce Conservation District</w:t>
      </w:r>
    </w:p>
    <w:p w14:paraId="4D98A9AE"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Pierce County</w:t>
      </w:r>
    </w:p>
    <w:p w14:paraId="74B24862"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Port of Olympia</w:t>
      </w:r>
    </w:p>
    <w:p w14:paraId="768FBF13"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South Puget Sound Salmon Enhancement Group</w:t>
      </w:r>
    </w:p>
    <w:p w14:paraId="03A23644"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Squaxin Island Tribe</w:t>
      </w:r>
    </w:p>
    <w:p w14:paraId="010873A6"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Tacoma-Pierce County Public Health</w:t>
      </w:r>
    </w:p>
    <w:p w14:paraId="3C494979"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Taylor Shellfish</w:t>
      </w:r>
    </w:p>
    <w:p w14:paraId="62947A34"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Thurston County</w:t>
      </w:r>
    </w:p>
    <w:p w14:paraId="7520FA9F"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Thurston ECO Network</w:t>
      </w:r>
    </w:p>
    <w:p w14:paraId="0D3BAEE2"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West Sound Watersheds Council</w:t>
      </w:r>
    </w:p>
    <w:p w14:paraId="45B0D72A"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Wilcox Farms</w:t>
      </w:r>
    </w:p>
    <w:p w14:paraId="2C3B2F8A"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WSU Extension</w:t>
      </w:r>
    </w:p>
    <w:p w14:paraId="759B8D55" w14:textId="77777777" w:rsidR="00B90508" w:rsidRPr="00B90508" w:rsidRDefault="00B90508" w:rsidP="00B90508">
      <w:pPr>
        <w:numPr>
          <w:ilvl w:val="0"/>
          <w:numId w:val="44"/>
        </w:numPr>
        <w:spacing w:line="276" w:lineRule="auto"/>
        <w:contextualSpacing/>
        <w:rPr>
          <w:rFonts w:eastAsiaTheme="minorEastAsia"/>
        </w:rPr>
        <w:sectPr w:rsidR="00B90508" w:rsidRPr="00B90508" w:rsidSect="00B90508">
          <w:type w:val="continuous"/>
          <w:pgSz w:w="12240" w:h="15840" w:code="1"/>
          <w:pgMar w:top="1440" w:right="1440" w:bottom="1440" w:left="1440" w:header="720" w:footer="720" w:gutter="0"/>
          <w:cols w:num="2" w:space="720"/>
        </w:sectPr>
      </w:pPr>
      <w:bookmarkStart w:id="127" w:name="_guqnjuorop4" w:colFirst="0" w:colLast="0"/>
      <w:bookmarkEnd w:id="127"/>
    </w:p>
    <w:p w14:paraId="6B89EBAA" w14:textId="77777777" w:rsidR="00B90508" w:rsidRPr="00B90508" w:rsidRDefault="00B90508" w:rsidP="00B90508">
      <w:pPr>
        <w:keepNext/>
        <w:keepLines/>
        <w:spacing w:before="360" w:after="120" w:line="240" w:lineRule="auto"/>
        <w:outlineLvl w:val="1"/>
        <w:rPr>
          <w:rFonts w:asciiTheme="majorHAnsi" w:eastAsiaTheme="majorEastAsia" w:hAnsiTheme="majorHAnsi" w:cstheme="majorBidi"/>
          <w:color w:val="2B5A8E"/>
          <w:sz w:val="32"/>
          <w:szCs w:val="32"/>
          <w:u w:color="33CC33"/>
        </w:rPr>
      </w:pPr>
      <w:bookmarkStart w:id="128" w:name="_Toc462999997"/>
      <w:r w:rsidRPr="00B90508">
        <w:rPr>
          <w:rFonts w:asciiTheme="majorHAnsi" w:eastAsiaTheme="majorEastAsia" w:hAnsiTheme="majorHAnsi" w:cstheme="majorBidi"/>
          <w:color w:val="2B5A8E"/>
          <w:sz w:val="32"/>
          <w:szCs w:val="32"/>
          <w:u w:color="33CC33"/>
        </w:rPr>
        <w:t>South Puget Sound Assessment Units</w:t>
      </w:r>
      <w:bookmarkEnd w:id="128"/>
    </w:p>
    <w:p w14:paraId="2522C747" w14:textId="77777777" w:rsidR="00B90508" w:rsidRPr="00B90508" w:rsidRDefault="00B90508" w:rsidP="00B90508">
      <w:pPr>
        <w:spacing w:line="276" w:lineRule="auto"/>
        <w:rPr>
          <w:rFonts w:eastAsiaTheme="minorEastAsia"/>
        </w:rPr>
      </w:pPr>
      <w:bookmarkStart w:id="129" w:name="_b0njw88isxjr" w:colFirst="0" w:colLast="0"/>
      <w:bookmarkEnd w:id="129"/>
      <w:r w:rsidRPr="00B90508">
        <w:rPr>
          <w:rFonts w:eastAsiaTheme="minorEastAsia"/>
        </w:rPr>
        <w:t>The Strategy describes status and trend information and establishes protection and recovery targets at a local scale within a defined assessment unit. For the marine nearshore ecosystems, information is summarized at the “Inlet/Island Group” scale and for upland terrestrial and freshwater ecosystems at the subwatershed scale. Inlet/Island groups are different in their level of intactness and in their key pressures and opportunities for recovery progress. There are nine distinct South Puget Sound inlets and island groups:</w:t>
      </w:r>
    </w:p>
    <w:p w14:paraId="4243C5A3" w14:textId="77777777" w:rsidR="00B90508" w:rsidRPr="00B90508" w:rsidRDefault="00B90508" w:rsidP="00B90508">
      <w:pPr>
        <w:numPr>
          <w:ilvl w:val="0"/>
          <w:numId w:val="22"/>
        </w:numPr>
        <w:spacing w:line="276" w:lineRule="auto"/>
        <w:contextualSpacing/>
        <w:rPr>
          <w:rFonts w:eastAsiaTheme="minorEastAsia"/>
        </w:rPr>
        <w:sectPr w:rsidR="00B90508" w:rsidRPr="00B90508" w:rsidSect="00B90508">
          <w:type w:val="continuous"/>
          <w:pgSz w:w="12240" w:h="15840" w:code="1"/>
          <w:pgMar w:top="1440" w:right="1440" w:bottom="1440" w:left="1440" w:header="720" w:footer="720" w:gutter="0"/>
          <w:cols w:space="720"/>
        </w:sectPr>
      </w:pPr>
      <w:bookmarkStart w:id="130" w:name="_fa2wy3iq2p3a" w:colFirst="0" w:colLast="0"/>
      <w:bookmarkStart w:id="131" w:name="_eo029ygb5yoa" w:colFirst="0" w:colLast="0"/>
      <w:bookmarkEnd w:id="130"/>
      <w:bookmarkEnd w:id="131"/>
    </w:p>
    <w:p w14:paraId="3D01C5B2"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Case Inlet</w:t>
      </w:r>
    </w:p>
    <w:p w14:paraId="080A2272"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Carr Inlet</w:t>
      </w:r>
    </w:p>
    <w:p w14:paraId="07D82EA8" w14:textId="77777777" w:rsidR="00B90508" w:rsidRPr="00B90508" w:rsidRDefault="00B90508" w:rsidP="00B90508">
      <w:pPr>
        <w:numPr>
          <w:ilvl w:val="0"/>
          <w:numId w:val="58"/>
        </w:numPr>
        <w:spacing w:line="276" w:lineRule="auto"/>
        <w:contextualSpacing/>
        <w:rPr>
          <w:rFonts w:eastAsiaTheme="minorEastAsia"/>
        </w:rPr>
      </w:pPr>
      <w:bookmarkStart w:id="132" w:name="_1syhtso170a5" w:colFirst="0" w:colLast="0"/>
      <w:bookmarkEnd w:id="132"/>
      <w:r w:rsidRPr="00B90508">
        <w:rPr>
          <w:rFonts w:eastAsiaTheme="minorEastAsia"/>
        </w:rPr>
        <w:t>Harstine Island Group</w:t>
      </w:r>
    </w:p>
    <w:p w14:paraId="0B82A233" w14:textId="77777777" w:rsidR="00B90508" w:rsidRPr="00B90508" w:rsidRDefault="00B90508" w:rsidP="00B90508">
      <w:pPr>
        <w:numPr>
          <w:ilvl w:val="0"/>
          <w:numId w:val="58"/>
        </w:numPr>
        <w:spacing w:line="276" w:lineRule="auto"/>
        <w:contextualSpacing/>
        <w:rPr>
          <w:rFonts w:eastAsiaTheme="minorEastAsia"/>
        </w:rPr>
      </w:pPr>
      <w:bookmarkStart w:id="133" w:name="_v8skk9xr8u4p" w:colFirst="0" w:colLast="0"/>
      <w:bookmarkEnd w:id="133"/>
      <w:r w:rsidRPr="00B90508">
        <w:rPr>
          <w:rFonts w:eastAsiaTheme="minorEastAsia"/>
        </w:rPr>
        <w:t>McNeil Island Group</w:t>
      </w:r>
    </w:p>
    <w:p w14:paraId="2D9536BA" w14:textId="77777777" w:rsidR="00B90508" w:rsidRPr="00B90508" w:rsidRDefault="00B90508" w:rsidP="00B90508">
      <w:pPr>
        <w:numPr>
          <w:ilvl w:val="0"/>
          <w:numId w:val="58"/>
        </w:numPr>
        <w:spacing w:line="276" w:lineRule="auto"/>
        <w:contextualSpacing/>
        <w:rPr>
          <w:rFonts w:eastAsiaTheme="minorEastAsia"/>
        </w:rPr>
      </w:pPr>
      <w:bookmarkStart w:id="134" w:name="_eum38v3mswi" w:colFirst="0" w:colLast="0"/>
      <w:bookmarkEnd w:id="134"/>
      <w:r w:rsidRPr="00B90508">
        <w:rPr>
          <w:rFonts w:eastAsiaTheme="minorEastAsia"/>
        </w:rPr>
        <w:t>Hammersley Inlet &amp; Oakland Bay</w:t>
      </w:r>
    </w:p>
    <w:p w14:paraId="506139E3" w14:textId="77777777" w:rsidR="00B90508" w:rsidRPr="00B90508" w:rsidRDefault="00B90508" w:rsidP="00B90508">
      <w:pPr>
        <w:numPr>
          <w:ilvl w:val="0"/>
          <w:numId w:val="58"/>
        </w:numPr>
        <w:spacing w:line="276" w:lineRule="auto"/>
        <w:contextualSpacing/>
        <w:rPr>
          <w:rFonts w:eastAsiaTheme="minorEastAsia"/>
        </w:rPr>
      </w:pPr>
      <w:bookmarkStart w:id="135" w:name="_6niu4r2u7i2t" w:colFirst="0" w:colLast="0"/>
      <w:bookmarkStart w:id="136" w:name="_ez6eos5bc7be" w:colFirst="0" w:colLast="0"/>
      <w:bookmarkEnd w:id="135"/>
      <w:bookmarkEnd w:id="136"/>
      <w:r w:rsidRPr="00B90508">
        <w:rPr>
          <w:rFonts w:eastAsiaTheme="minorEastAsia"/>
        </w:rPr>
        <w:t>Totten &amp; Little Skookum Inlets</w:t>
      </w:r>
    </w:p>
    <w:p w14:paraId="3CF69BC5" w14:textId="77777777" w:rsidR="00B90508" w:rsidRPr="00B90508" w:rsidRDefault="00B90508" w:rsidP="00B90508">
      <w:pPr>
        <w:numPr>
          <w:ilvl w:val="0"/>
          <w:numId w:val="58"/>
        </w:numPr>
        <w:spacing w:line="276" w:lineRule="auto"/>
        <w:contextualSpacing/>
        <w:rPr>
          <w:rFonts w:eastAsiaTheme="minorEastAsia"/>
        </w:rPr>
      </w:pPr>
      <w:bookmarkStart w:id="137" w:name="_2wt1y1xtam4f" w:colFirst="0" w:colLast="0"/>
      <w:bookmarkEnd w:id="137"/>
      <w:r w:rsidRPr="00B90508">
        <w:rPr>
          <w:rFonts w:eastAsiaTheme="minorEastAsia"/>
        </w:rPr>
        <w:t>Eld Inlet</w:t>
      </w:r>
    </w:p>
    <w:p w14:paraId="5BC2BA65"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Budd Inlet</w:t>
      </w:r>
    </w:p>
    <w:p w14:paraId="587588C3"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Henderson Inlet</w:t>
      </w:r>
    </w:p>
    <w:p w14:paraId="300C730A" w14:textId="77777777" w:rsidR="00B90508" w:rsidRPr="00B90508" w:rsidRDefault="00B90508" w:rsidP="00B90508">
      <w:pPr>
        <w:spacing w:before="360" w:line="276" w:lineRule="auto"/>
        <w:rPr>
          <w:rFonts w:eastAsiaTheme="minorEastAsia"/>
        </w:rPr>
        <w:sectPr w:rsidR="00B90508" w:rsidRPr="00B90508" w:rsidSect="00B90508">
          <w:type w:val="continuous"/>
          <w:pgSz w:w="12240" w:h="15840" w:code="1"/>
          <w:pgMar w:top="1440" w:right="1440" w:bottom="1440" w:left="1440" w:header="720" w:footer="720" w:gutter="0"/>
          <w:cols w:num="2" w:space="720"/>
        </w:sectPr>
      </w:pPr>
    </w:p>
    <w:p w14:paraId="68A60412" w14:textId="77777777" w:rsidR="00B90508" w:rsidRPr="00B90508" w:rsidRDefault="00B90508" w:rsidP="00B90508">
      <w:pPr>
        <w:spacing w:line="276" w:lineRule="auto"/>
        <w:rPr>
          <w:rFonts w:eastAsiaTheme="minorEastAsia"/>
        </w:rPr>
      </w:pPr>
    </w:p>
    <w:p w14:paraId="43F724A5" w14:textId="77777777" w:rsidR="00B90508" w:rsidRPr="00B90508" w:rsidRDefault="00B90508" w:rsidP="00B90508">
      <w:pPr>
        <w:spacing w:line="276" w:lineRule="auto"/>
        <w:rPr>
          <w:rFonts w:eastAsiaTheme="minorEastAsia"/>
        </w:rPr>
      </w:pPr>
      <w:r w:rsidRPr="00B90508">
        <w:rPr>
          <w:rFonts w:eastAsiaTheme="minorEastAsia"/>
        </w:rPr>
        <w:lastRenderedPageBreak/>
        <w:t xml:space="preserve">These nine landscape regions are used in the South Puget Sound chapter of Puget Sound Salmon Recovery Plan, which drew from the division used by the State of Washington and the Treaty Tribes for harvest planning and management. The Salmon Recovery Plan notes that the boundaries also reflect a very natural division of the South Puget Sound ecosystem into distinct geographic units that display their own unique characteristics. </w:t>
      </w:r>
    </w:p>
    <w:p w14:paraId="7B459C50" w14:textId="77777777" w:rsidR="00B90508" w:rsidRPr="00B90508" w:rsidRDefault="00B90508" w:rsidP="00B90508">
      <w:pPr>
        <w:spacing w:line="276" w:lineRule="auto"/>
        <w:rPr>
          <w:rFonts w:eastAsiaTheme="minorEastAsia"/>
          <w:highlight w:val="yellow"/>
        </w:rPr>
      </w:pPr>
      <w:r w:rsidRPr="00B90508">
        <w:rPr>
          <w:rFonts w:eastAsiaTheme="minorEastAsia"/>
          <w:noProof/>
        </w:rPr>
        <w:drawing>
          <wp:inline distT="0" distB="0" distL="0" distR="0" wp14:anchorId="4B2F58B9" wp14:editId="726B8A85">
            <wp:extent cx="5943600" cy="4662805"/>
            <wp:effectExtent l="19050" t="19050" r="19050" b="23495"/>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_Inlet_IslandGroups.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943600" cy="4662805"/>
                    </a:xfrm>
                    <a:prstGeom prst="rect">
                      <a:avLst/>
                    </a:prstGeom>
                    <a:ln w="3175">
                      <a:solidFill>
                        <a:sysClr val="windowText" lastClr="000000"/>
                      </a:solidFill>
                    </a:ln>
                  </pic:spPr>
                </pic:pic>
              </a:graphicData>
            </a:graphic>
          </wp:inline>
        </w:drawing>
      </w:r>
    </w:p>
    <w:p w14:paraId="388AA91E"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South Puget Sound Inlet &amp; Island Group Boundaries</w:t>
      </w:r>
    </w:p>
    <w:p w14:paraId="3A86A7B6" w14:textId="77777777" w:rsidR="00B90508" w:rsidRPr="00B90508" w:rsidRDefault="00B90508" w:rsidP="00B90508">
      <w:pPr>
        <w:spacing w:line="276" w:lineRule="auto"/>
        <w:rPr>
          <w:rFonts w:eastAsiaTheme="minorEastAsia"/>
        </w:rPr>
      </w:pPr>
      <w:r w:rsidRPr="00B90508">
        <w:rPr>
          <w:rFonts w:eastAsiaTheme="minorEastAsia"/>
        </w:rPr>
        <w:t xml:space="preserve">Upland terrestrial and freshwater ecosystems are described by subwatershed assessment units. There are 12 individual upland assessment units and each map directly to the adjacent Island/Island Group. The upland assessment units are: </w:t>
      </w:r>
    </w:p>
    <w:p w14:paraId="5ADCB35A" w14:textId="77777777" w:rsidR="00B90508" w:rsidRPr="00B90508" w:rsidRDefault="00B90508" w:rsidP="00B90508">
      <w:pPr>
        <w:numPr>
          <w:ilvl w:val="0"/>
          <w:numId w:val="22"/>
        </w:numPr>
        <w:spacing w:line="276" w:lineRule="auto"/>
        <w:contextualSpacing/>
        <w:rPr>
          <w:rFonts w:eastAsiaTheme="minorEastAsia"/>
        </w:rPr>
        <w:sectPr w:rsidR="00B90508" w:rsidRPr="00B90508" w:rsidSect="00B90508">
          <w:type w:val="continuous"/>
          <w:pgSz w:w="12240" w:h="15840" w:code="1"/>
          <w:pgMar w:top="1440" w:right="1440" w:bottom="1440" w:left="1440" w:header="720" w:footer="720" w:gutter="0"/>
          <w:cols w:space="720"/>
        </w:sectPr>
      </w:pPr>
    </w:p>
    <w:p w14:paraId="5FD97369"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Budd Inlet</w:t>
      </w:r>
    </w:p>
    <w:p w14:paraId="342D7CAE"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Eld Inlet</w:t>
      </w:r>
    </w:p>
    <w:p w14:paraId="5014EA83"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Totten &amp; Little Skookum Inlets</w:t>
      </w:r>
    </w:p>
    <w:p w14:paraId="4D75927C"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Hammersley Inlet &amp; Oakland Bay</w:t>
      </w:r>
    </w:p>
    <w:p w14:paraId="3281724B"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Harstine Island Group</w:t>
      </w:r>
    </w:p>
    <w:p w14:paraId="2B0A7985"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Case Inlet</w:t>
      </w:r>
    </w:p>
    <w:p w14:paraId="4BE4A7BA"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Carr Inlet</w:t>
      </w:r>
    </w:p>
    <w:p w14:paraId="1E035E31"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McNeil Island Group</w:t>
      </w:r>
    </w:p>
    <w:p w14:paraId="02414C8E"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Chambers Clover</w:t>
      </w:r>
    </w:p>
    <w:p w14:paraId="1E229365"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Nisqually</w:t>
      </w:r>
    </w:p>
    <w:p w14:paraId="2F7D38D3"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Henderson Inlet</w:t>
      </w:r>
    </w:p>
    <w:p w14:paraId="71F9CACB" w14:textId="77777777" w:rsidR="00B90508" w:rsidRPr="00B90508" w:rsidRDefault="00B90508" w:rsidP="00B90508">
      <w:pPr>
        <w:numPr>
          <w:ilvl w:val="0"/>
          <w:numId w:val="58"/>
        </w:numPr>
        <w:spacing w:line="276" w:lineRule="auto"/>
        <w:contextualSpacing/>
        <w:rPr>
          <w:rFonts w:eastAsiaTheme="minorEastAsia"/>
        </w:rPr>
      </w:pPr>
      <w:r w:rsidRPr="00B90508">
        <w:rPr>
          <w:rFonts w:eastAsiaTheme="minorEastAsia"/>
        </w:rPr>
        <w:t>Deschutes</w:t>
      </w:r>
    </w:p>
    <w:p w14:paraId="16E5CD47" w14:textId="77777777" w:rsidR="00B90508" w:rsidRPr="00B90508" w:rsidRDefault="00B90508" w:rsidP="00B90508">
      <w:pPr>
        <w:numPr>
          <w:ilvl w:val="0"/>
          <w:numId w:val="44"/>
        </w:numPr>
        <w:spacing w:line="276" w:lineRule="auto"/>
        <w:contextualSpacing/>
        <w:rPr>
          <w:rFonts w:eastAsiaTheme="minorEastAsia"/>
        </w:rPr>
        <w:sectPr w:rsidR="00B90508" w:rsidRPr="00B90508" w:rsidSect="00B90508">
          <w:type w:val="continuous"/>
          <w:pgSz w:w="12240" w:h="15840" w:code="1"/>
          <w:pgMar w:top="1440" w:right="1440" w:bottom="1440" w:left="1440" w:header="720" w:footer="720" w:gutter="0"/>
          <w:cols w:num="2" w:space="720"/>
        </w:sectPr>
      </w:pPr>
    </w:p>
    <w:p w14:paraId="0900D644" w14:textId="77777777" w:rsidR="00B90508" w:rsidRPr="00B90508" w:rsidRDefault="00B90508" w:rsidP="00B90508">
      <w:pPr>
        <w:spacing w:line="276" w:lineRule="auto"/>
        <w:contextualSpacing/>
        <w:jc w:val="center"/>
        <w:rPr>
          <w:rFonts w:eastAsiaTheme="minorEastAsia"/>
        </w:rPr>
      </w:pPr>
      <w:r w:rsidRPr="00B90508">
        <w:rPr>
          <w:rFonts w:eastAsiaTheme="minorEastAsia"/>
          <w:noProof/>
        </w:rPr>
        <w:lastRenderedPageBreak/>
        <w:drawing>
          <wp:inline distT="0" distB="0" distL="0" distR="0" wp14:anchorId="22ADFDF0" wp14:editId="07F3B024">
            <wp:extent cx="5943600" cy="470916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0_Upland_Assessment_Units.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943600" cy="4709160"/>
                    </a:xfrm>
                    <a:prstGeom prst="rect">
                      <a:avLst/>
                    </a:prstGeom>
                    <a:ln w="3175">
                      <a:noFill/>
                    </a:ln>
                  </pic:spPr>
                </pic:pic>
              </a:graphicData>
            </a:graphic>
          </wp:inline>
        </w:drawing>
      </w:r>
    </w:p>
    <w:p w14:paraId="0028AE65"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South Puget Sound Upland Assessment Unit Boundaries</w:t>
      </w:r>
    </w:p>
    <w:p w14:paraId="33B71B4E" w14:textId="77777777" w:rsidR="00B90508" w:rsidRPr="00B90508" w:rsidRDefault="00B90508" w:rsidP="00B90508">
      <w:pPr>
        <w:spacing w:line="276" w:lineRule="auto"/>
        <w:contextualSpacing/>
        <w:rPr>
          <w:rFonts w:eastAsiaTheme="minorEastAsia"/>
        </w:rPr>
      </w:pPr>
      <w:r w:rsidRPr="00B90508">
        <w:rPr>
          <w:rFonts w:eastAsiaTheme="minorEastAsia"/>
        </w:rPr>
        <w:t>Each Inlet/Island group is described in more detail in Appendix A.</w:t>
      </w:r>
    </w:p>
    <w:p w14:paraId="129F452C"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138" w:name="_2pugsa4nzgoq" w:colFirst="0" w:colLast="0"/>
      <w:bookmarkStart w:id="139" w:name="_c1kxgbb1dy6h" w:colFirst="0" w:colLast="0"/>
      <w:bookmarkStart w:id="140" w:name="_nkg4w9emut6" w:colFirst="0" w:colLast="0"/>
      <w:bookmarkStart w:id="141" w:name="_Toc462999998"/>
      <w:bookmarkEnd w:id="138"/>
      <w:bookmarkEnd w:id="139"/>
      <w:bookmarkEnd w:id="140"/>
      <w:r w:rsidRPr="00B90508">
        <w:rPr>
          <w:rFonts w:asciiTheme="majorHAnsi" w:eastAsia="Arial" w:hAnsiTheme="majorHAnsi" w:cstheme="majorBidi"/>
          <w:color w:val="2B5A8E"/>
          <w:sz w:val="32"/>
          <w:szCs w:val="32"/>
          <w:u w:color="33CC33"/>
        </w:rPr>
        <w:t>Relationship to Existing Salmon Recovery Plans</w:t>
      </w:r>
      <w:bookmarkEnd w:id="141"/>
    </w:p>
    <w:p w14:paraId="032D75F1" w14:textId="77777777" w:rsidR="00B90508" w:rsidRPr="00B90508" w:rsidRDefault="00B90508" w:rsidP="00B90508">
      <w:pPr>
        <w:spacing w:line="276" w:lineRule="auto"/>
        <w:rPr>
          <w:rFonts w:eastAsiaTheme="minorEastAsia"/>
        </w:rPr>
      </w:pPr>
      <w:bookmarkStart w:id="142" w:name="_c261cc62po98" w:colFirst="0" w:colLast="0"/>
      <w:bookmarkStart w:id="143" w:name="_898sieqgb3ca" w:colFirst="0" w:colLast="0"/>
      <w:bookmarkEnd w:id="142"/>
      <w:bookmarkEnd w:id="143"/>
      <w:r w:rsidRPr="00B90508">
        <w:rPr>
          <w:rFonts w:eastAsiaTheme="minorEastAsia"/>
        </w:rPr>
        <w:t>The South Sound Strategy is intended to reinforce and complement to existing salmon recovery plans. In the Strategy we identify and discuss focus areas, pressures, attributes, and related targets at a high level and from a broad perspective. These issues are further described - from a salmon-focused perspective - in local recovery plans including:</w:t>
      </w:r>
    </w:p>
    <w:p w14:paraId="02124093"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Habitat Protection and Restoration Plan for Water Resource Inventory Area 13, Deschutes (Sept. 2005)</w:t>
      </w:r>
    </w:p>
    <w:p w14:paraId="1143E65A"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South Sound 4 year Worplan (updated in 2016)</w:t>
      </w:r>
    </w:p>
    <w:p w14:paraId="74E8D5D7" w14:textId="77777777" w:rsidR="00B90508" w:rsidRPr="00B90508" w:rsidRDefault="00B90508" w:rsidP="00B90508">
      <w:pPr>
        <w:numPr>
          <w:ilvl w:val="0"/>
          <w:numId w:val="44"/>
        </w:numPr>
        <w:spacing w:line="276" w:lineRule="auto"/>
        <w:contextualSpacing/>
        <w:rPr>
          <w:rFonts w:eastAsiaTheme="minorEastAsia"/>
        </w:rPr>
      </w:pPr>
      <w:r w:rsidRPr="00B90508">
        <w:rPr>
          <w:rFonts w:eastAsiaTheme="minorEastAsia"/>
        </w:rPr>
        <w:t>“South Sound Chapter”</w:t>
      </w:r>
    </w:p>
    <w:p w14:paraId="236098CE" w14:textId="77777777" w:rsidR="00B90508" w:rsidRPr="00B90508" w:rsidRDefault="00B90508" w:rsidP="00B90508">
      <w:pPr>
        <w:numPr>
          <w:ilvl w:val="0"/>
          <w:numId w:val="44"/>
        </w:numPr>
        <w:spacing w:after="120" w:line="276" w:lineRule="auto"/>
        <w:contextualSpacing/>
        <w:rPr>
          <w:rFonts w:eastAsiaTheme="minorEastAsia"/>
        </w:rPr>
      </w:pPr>
      <w:r w:rsidRPr="00B90508">
        <w:rPr>
          <w:rFonts w:eastAsiaTheme="minorEastAsia"/>
          <w:b/>
          <w:bCs/>
          <w:i/>
          <w:iCs/>
          <w:color w:val="2E74B5" w:themeColor="accent1" w:themeShade="BF"/>
        </w:rPr>
        <w:t>[9/30: List the other local salmon recovery plans here by their real names]</w:t>
      </w:r>
    </w:p>
    <w:p w14:paraId="4BD2D64D" w14:textId="77777777" w:rsidR="00B90508" w:rsidRPr="00B90508" w:rsidRDefault="00B90508" w:rsidP="00B90508">
      <w:pPr>
        <w:keepNext/>
        <w:keepLines/>
        <w:spacing w:line="276" w:lineRule="auto"/>
        <w:rPr>
          <w:rFonts w:eastAsiaTheme="minorEastAsia"/>
        </w:rPr>
      </w:pPr>
      <w:r w:rsidRPr="00B90508">
        <w:rPr>
          <w:rFonts w:eastAsiaTheme="minorEastAsia"/>
        </w:rPr>
        <w:lastRenderedPageBreak/>
        <w:t xml:space="preserve">Each plan describes salmon stock and watershed health, identifies limiting factors on salmon abundance, distribution, and productivity, and describes strategies and a list of prioritized actions to improve salmon. We expect that the salmon recovery work and priorities will continue to be a key driver for South Sound protection and recovery and that many of the projects that come forward for Alliance consideration and endorsement will have their origin in the salmon recovery work. </w:t>
      </w:r>
    </w:p>
    <w:p w14:paraId="72741C0A" w14:textId="77777777" w:rsidR="00B90508" w:rsidRPr="00B90508" w:rsidRDefault="00B90508" w:rsidP="00B90508">
      <w:pPr>
        <w:spacing w:line="276" w:lineRule="auto"/>
        <w:rPr>
          <w:rFonts w:eastAsiaTheme="minorEastAsia"/>
        </w:rPr>
      </w:pPr>
    </w:p>
    <w:p w14:paraId="6B64A431" w14:textId="77777777" w:rsidR="00B90508" w:rsidRPr="00B90508" w:rsidRDefault="00B90508" w:rsidP="00B90508">
      <w:pPr>
        <w:spacing w:line="276" w:lineRule="auto"/>
        <w:rPr>
          <w:rFonts w:eastAsiaTheme="minorEastAsia"/>
        </w:rPr>
        <w:sectPr w:rsidR="00B90508" w:rsidRPr="00B90508" w:rsidSect="00B90508">
          <w:type w:val="continuous"/>
          <w:pgSz w:w="12240" w:h="15840" w:code="1"/>
          <w:pgMar w:top="1440" w:right="1440" w:bottom="1440" w:left="1440" w:header="720" w:footer="720" w:gutter="0"/>
          <w:cols w:space="720"/>
        </w:sectPr>
      </w:pPr>
    </w:p>
    <w:p w14:paraId="0EFBCFAF"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144" w:name="_fxeir436m78k" w:colFirst="0" w:colLast="0"/>
      <w:bookmarkStart w:id="145" w:name="_Toc462999999"/>
      <w:bookmarkEnd w:id="144"/>
      <w:r w:rsidRPr="00B90508">
        <w:rPr>
          <w:rFonts w:eastAsiaTheme="majorEastAsia" w:cstheme="minorHAnsi"/>
          <w:b/>
          <w:color w:val="FFFFFF" w:themeColor="background1"/>
          <w:sz w:val="36"/>
          <w:szCs w:val="36"/>
        </w:rPr>
        <w:lastRenderedPageBreak/>
        <w:t>South Sound Focus Areas</w:t>
      </w:r>
      <w:bookmarkEnd w:id="145"/>
      <w:r w:rsidRPr="00B90508">
        <w:rPr>
          <w:rFonts w:eastAsiaTheme="majorEastAsia" w:cstheme="minorHAnsi"/>
          <w:b/>
          <w:color w:val="FFFFFF" w:themeColor="background1"/>
          <w:sz w:val="36"/>
          <w:szCs w:val="36"/>
        </w:rPr>
        <w:t xml:space="preserve"> </w:t>
      </w:r>
    </w:p>
    <w:p w14:paraId="6D5B24FE" w14:textId="77777777" w:rsidR="00B90508" w:rsidRPr="00B90508" w:rsidRDefault="00B90508" w:rsidP="00B90508">
      <w:pPr>
        <w:spacing w:line="276" w:lineRule="auto"/>
        <w:rPr>
          <w:rFonts w:eastAsiaTheme="minorEastAsia"/>
        </w:rPr>
      </w:pPr>
      <w:r w:rsidRPr="00B90508">
        <w:rPr>
          <w:rFonts w:eastAsiaTheme="minorEastAsia"/>
        </w:rPr>
        <w:t>The Alliance identified nine ecosystem focus areas covering a range of important habitats and species to provide a logical framework for organizing recovery planning. For the most part, the focus areas are expressed in terms of a broad directional goal. They are:</w:t>
      </w:r>
    </w:p>
    <w:p w14:paraId="5CA71BDC" w14:textId="77777777" w:rsidR="00B90508" w:rsidRPr="00B90508" w:rsidRDefault="00B90508" w:rsidP="00B90508">
      <w:pPr>
        <w:numPr>
          <w:ilvl w:val="0"/>
          <w:numId w:val="26"/>
        </w:numPr>
        <w:spacing w:line="276" w:lineRule="auto"/>
        <w:contextualSpacing/>
        <w:rPr>
          <w:rFonts w:eastAsiaTheme="minorEastAsia"/>
        </w:rPr>
      </w:pPr>
      <w:r w:rsidRPr="00B90508">
        <w:rPr>
          <w:rFonts w:eastAsiaTheme="minorEastAsia"/>
        </w:rPr>
        <w:t>Protect and restore prairies and oak woodlands</w:t>
      </w:r>
      <w:bookmarkStart w:id="146" w:name="_t09la24zhes5" w:colFirst="0" w:colLast="0"/>
      <w:bookmarkEnd w:id="146"/>
    </w:p>
    <w:p w14:paraId="11E49CDE" w14:textId="77777777" w:rsidR="00B90508" w:rsidRPr="00B90508" w:rsidRDefault="00B90508" w:rsidP="00B90508">
      <w:pPr>
        <w:numPr>
          <w:ilvl w:val="0"/>
          <w:numId w:val="26"/>
        </w:numPr>
        <w:spacing w:line="276" w:lineRule="auto"/>
        <w:contextualSpacing/>
        <w:rPr>
          <w:rFonts w:eastAsiaTheme="minorEastAsia"/>
        </w:rPr>
      </w:pPr>
      <w:r w:rsidRPr="00B90508">
        <w:rPr>
          <w:rFonts w:eastAsiaTheme="minorEastAsia"/>
        </w:rPr>
        <w:t>Protect and restore forests for ecosystem benefits and sustainable harvest</w:t>
      </w:r>
    </w:p>
    <w:p w14:paraId="0A62B13D" w14:textId="77777777" w:rsidR="00B90508" w:rsidRPr="00B90508" w:rsidRDefault="00B90508" w:rsidP="00B90508">
      <w:pPr>
        <w:numPr>
          <w:ilvl w:val="0"/>
          <w:numId w:val="26"/>
        </w:numPr>
        <w:spacing w:line="276" w:lineRule="auto"/>
        <w:contextualSpacing/>
        <w:rPr>
          <w:rFonts w:eastAsiaTheme="minorEastAsia"/>
        </w:rPr>
      </w:pPr>
      <w:r w:rsidRPr="00B90508">
        <w:rPr>
          <w:rFonts w:eastAsiaTheme="minorEastAsia"/>
        </w:rPr>
        <w:t>Protect and restore freshwater wetlands and streams</w:t>
      </w:r>
    </w:p>
    <w:p w14:paraId="07363AAB" w14:textId="77777777" w:rsidR="00B90508" w:rsidRPr="00B90508" w:rsidRDefault="00B90508" w:rsidP="00B90508">
      <w:pPr>
        <w:numPr>
          <w:ilvl w:val="0"/>
          <w:numId w:val="26"/>
        </w:numPr>
        <w:spacing w:line="276" w:lineRule="auto"/>
        <w:contextualSpacing/>
        <w:rPr>
          <w:rFonts w:eastAsiaTheme="minorEastAsia"/>
        </w:rPr>
      </w:pPr>
      <w:bookmarkStart w:id="147" w:name="_ffmyhmrxtjh4" w:colFirst="0" w:colLast="0"/>
      <w:bookmarkEnd w:id="147"/>
      <w:r w:rsidRPr="00B90508">
        <w:rPr>
          <w:rFonts w:eastAsiaTheme="minorEastAsia"/>
        </w:rPr>
        <w:t>Protect and restore marine nearshore habitat</w:t>
      </w:r>
    </w:p>
    <w:p w14:paraId="46756CDD" w14:textId="77777777" w:rsidR="00B90508" w:rsidRPr="00B90508" w:rsidRDefault="00B90508" w:rsidP="00B90508">
      <w:pPr>
        <w:numPr>
          <w:ilvl w:val="0"/>
          <w:numId w:val="26"/>
        </w:numPr>
        <w:spacing w:line="276" w:lineRule="auto"/>
        <w:contextualSpacing/>
        <w:rPr>
          <w:rFonts w:eastAsiaTheme="minorEastAsia"/>
        </w:rPr>
      </w:pPr>
      <w:bookmarkStart w:id="148" w:name="_gimiscscq7i8" w:colFirst="0" w:colLast="0"/>
      <w:bookmarkStart w:id="149" w:name="_kkzkeei35nxl" w:colFirst="0" w:colLast="0"/>
      <w:bookmarkEnd w:id="148"/>
      <w:bookmarkEnd w:id="149"/>
      <w:r w:rsidRPr="00B90508">
        <w:rPr>
          <w:rFonts w:eastAsiaTheme="minorEastAsia"/>
        </w:rPr>
        <w:t>Improve freshwater water quality</w:t>
      </w:r>
    </w:p>
    <w:p w14:paraId="21DE43B6" w14:textId="77777777" w:rsidR="00B90508" w:rsidRPr="00B90508" w:rsidRDefault="00B90508" w:rsidP="00B90508">
      <w:pPr>
        <w:numPr>
          <w:ilvl w:val="0"/>
          <w:numId w:val="26"/>
        </w:numPr>
        <w:spacing w:line="276" w:lineRule="auto"/>
        <w:contextualSpacing/>
        <w:rPr>
          <w:rFonts w:eastAsiaTheme="minorEastAsia"/>
        </w:rPr>
      </w:pPr>
      <w:bookmarkStart w:id="150" w:name="_87h3x4m6zsyv" w:colFirst="0" w:colLast="0"/>
      <w:bookmarkEnd w:id="150"/>
      <w:r w:rsidRPr="00B90508">
        <w:rPr>
          <w:rFonts w:eastAsiaTheme="minorEastAsia"/>
        </w:rPr>
        <w:t>Improve marine water quality</w:t>
      </w:r>
    </w:p>
    <w:p w14:paraId="66D86665" w14:textId="77777777" w:rsidR="00B90508" w:rsidRPr="00B90508" w:rsidRDefault="00B90508" w:rsidP="00B90508">
      <w:pPr>
        <w:numPr>
          <w:ilvl w:val="0"/>
          <w:numId w:val="26"/>
        </w:numPr>
        <w:spacing w:line="276" w:lineRule="auto"/>
        <w:contextualSpacing/>
        <w:rPr>
          <w:rFonts w:eastAsiaTheme="minorEastAsia"/>
        </w:rPr>
      </w:pPr>
      <w:bookmarkStart w:id="151" w:name="_4agw8pp8zcfz" w:colFirst="0" w:colLast="0"/>
      <w:bookmarkEnd w:id="151"/>
      <w:r w:rsidRPr="00B90508">
        <w:rPr>
          <w:rFonts w:eastAsiaTheme="minorEastAsia"/>
        </w:rPr>
        <w:t>Expand healthy, productive shellfish populations and harvest</w:t>
      </w:r>
    </w:p>
    <w:p w14:paraId="16DD2342" w14:textId="77777777" w:rsidR="00B90508" w:rsidRPr="00B90508" w:rsidRDefault="00B90508" w:rsidP="00B90508">
      <w:pPr>
        <w:numPr>
          <w:ilvl w:val="0"/>
          <w:numId w:val="26"/>
        </w:numPr>
        <w:spacing w:line="276" w:lineRule="auto"/>
        <w:contextualSpacing/>
        <w:rPr>
          <w:rFonts w:eastAsiaTheme="minorEastAsia"/>
        </w:rPr>
      </w:pPr>
      <w:bookmarkStart w:id="152" w:name="_4yheyuv89syb" w:colFirst="0" w:colLast="0"/>
      <w:bookmarkEnd w:id="152"/>
      <w:r w:rsidRPr="00B90508">
        <w:rPr>
          <w:rFonts w:eastAsiaTheme="minorEastAsia"/>
        </w:rPr>
        <w:t>Increase the abundance, distribution, and productivity of native salmon species and harvest</w:t>
      </w:r>
    </w:p>
    <w:p w14:paraId="3C9E6A67" w14:textId="77777777" w:rsidR="00B90508" w:rsidRPr="00B90508" w:rsidRDefault="00B90508" w:rsidP="00B90508">
      <w:pPr>
        <w:numPr>
          <w:ilvl w:val="0"/>
          <w:numId w:val="26"/>
        </w:numPr>
        <w:spacing w:line="276" w:lineRule="auto"/>
        <w:rPr>
          <w:rFonts w:eastAsiaTheme="minorEastAsia"/>
        </w:rPr>
      </w:pPr>
      <w:bookmarkStart w:id="153" w:name="_xcuj2ofbna2d" w:colFirst="0" w:colLast="0"/>
      <w:bookmarkEnd w:id="153"/>
      <w:r w:rsidRPr="00B90508">
        <w:rPr>
          <w:rFonts w:eastAsiaTheme="minorEastAsia"/>
        </w:rPr>
        <w:t>Human wellbeing</w:t>
      </w:r>
    </w:p>
    <w:p w14:paraId="2464B993" w14:textId="77777777" w:rsidR="00B90508" w:rsidRPr="00B90508" w:rsidRDefault="00B90508" w:rsidP="00B90508">
      <w:pPr>
        <w:spacing w:line="276" w:lineRule="auto"/>
        <w:rPr>
          <w:rFonts w:eastAsiaTheme="minorEastAsia"/>
        </w:rPr>
      </w:pPr>
      <w:bookmarkStart w:id="154" w:name="_2oqm9gkjnp3x" w:colFirst="0" w:colLast="0"/>
      <w:bookmarkStart w:id="155" w:name="_m9dllzucz363" w:colFirst="0" w:colLast="0"/>
      <w:bookmarkEnd w:id="154"/>
      <w:bookmarkEnd w:id="155"/>
      <w:r w:rsidRPr="00B90508">
        <w:rPr>
          <w:rFonts w:eastAsiaTheme="minorEastAsia"/>
        </w:rPr>
        <w:t xml:space="preserve">The Alliance selected attributes and set targets to create tangible goals for recovery activities within each of the focus areas. Attributes are characteristics that can serve as indicators of the structure and function (i.e., health) of ecosystem focus areas. They can tell us the status and trends of ecosystem focus areas (how much do we have and where is it?) and are meant to help us understand whether the ecosystem is getting better, getting worse, or staying the same. Recovery activities aimed at specific ecosystem focus areas can be measured and evaluated through attributes. </w:t>
      </w:r>
    </w:p>
    <w:p w14:paraId="4730132B" w14:textId="77777777" w:rsidR="00B90508" w:rsidRPr="00B90508" w:rsidRDefault="00B90508" w:rsidP="00B90508">
      <w:pPr>
        <w:spacing w:line="276" w:lineRule="auto"/>
        <w:rPr>
          <w:rFonts w:eastAsiaTheme="minorEastAsia"/>
        </w:rPr>
      </w:pPr>
      <w:bookmarkStart w:id="156" w:name="_2y63o6qhifkz" w:colFirst="0" w:colLast="0"/>
      <w:bookmarkEnd w:id="156"/>
      <w:r w:rsidRPr="00B90508">
        <w:rPr>
          <w:rFonts w:eastAsiaTheme="minorEastAsia"/>
        </w:rPr>
        <w:t>Because natural processes are the essential building blocks that create the habitats and species groups valued in South Sound, attributes that characterize natural processes were preferred by the Alliance. By definition, ecosystem processes are interactions among physical, chemical, and biological attributes of an ecosystem that lead to an outcome of change in character of the ecosystem and its components (i.e., changes in ecosystem state) (Schlenger et al. 2011). Successful restoration or recovery is ensuring that the ensuring that these physical, ecosystem-forming processes that maintain landscape structure are restored to their natural spatial and temporal scales. The following ecosystem processes are considered important by the Alliance:</w:t>
      </w:r>
    </w:p>
    <w:p w14:paraId="1A5C3F80" w14:textId="77777777" w:rsidR="00B90508" w:rsidRPr="00B90508" w:rsidRDefault="00B90508" w:rsidP="00B90508">
      <w:pPr>
        <w:numPr>
          <w:ilvl w:val="0"/>
          <w:numId w:val="27"/>
        </w:numPr>
        <w:spacing w:line="276" w:lineRule="auto"/>
        <w:contextualSpacing/>
        <w:rPr>
          <w:rFonts w:eastAsiaTheme="minorEastAsia"/>
        </w:rPr>
      </w:pPr>
      <w:r w:rsidRPr="00B90508">
        <w:rPr>
          <w:rFonts w:eastAsiaTheme="minorEastAsia"/>
        </w:rPr>
        <w:t>Sediment input/supply and transport</w:t>
      </w:r>
    </w:p>
    <w:p w14:paraId="5FFCD409" w14:textId="77777777" w:rsidR="00B90508" w:rsidRPr="00B90508" w:rsidRDefault="00B90508" w:rsidP="00B90508">
      <w:pPr>
        <w:numPr>
          <w:ilvl w:val="0"/>
          <w:numId w:val="27"/>
        </w:numPr>
        <w:spacing w:line="276" w:lineRule="auto"/>
        <w:contextualSpacing/>
        <w:rPr>
          <w:rFonts w:eastAsiaTheme="minorEastAsia"/>
        </w:rPr>
      </w:pPr>
      <w:bookmarkStart w:id="157" w:name="_yl3r6mh9b28u" w:colFirst="0" w:colLast="0"/>
      <w:bookmarkEnd w:id="157"/>
      <w:r w:rsidRPr="00B90508">
        <w:rPr>
          <w:rFonts w:eastAsiaTheme="minorEastAsia"/>
        </w:rPr>
        <w:t>Erosion and accretion of sediments</w:t>
      </w:r>
    </w:p>
    <w:p w14:paraId="015F4280" w14:textId="77777777" w:rsidR="00B90508" w:rsidRPr="00B90508" w:rsidRDefault="00B90508" w:rsidP="00B90508">
      <w:pPr>
        <w:numPr>
          <w:ilvl w:val="0"/>
          <w:numId w:val="27"/>
        </w:numPr>
        <w:spacing w:line="276" w:lineRule="auto"/>
        <w:contextualSpacing/>
        <w:rPr>
          <w:rFonts w:eastAsiaTheme="minorEastAsia"/>
        </w:rPr>
      </w:pPr>
      <w:bookmarkStart w:id="158" w:name="_l9qi5hiduw9g" w:colFirst="0" w:colLast="0"/>
      <w:bookmarkEnd w:id="158"/>
      <w:r w:rsidRPr="00B90508">
        <w:rPr>
          <w:rFonts w:eastAsiaTheme="minorEastAsia"/>
        </w:rPr>
        <w:t>Tidal hydrology/flow</w:t>
      </w:r>
    </w:p>
    <w:p w14:paraId="3E86EB30" w14:textId="77777777" w:rsidR="00B90508" w:rsidRPr="00B90508" w:rsidRDefault="00B90508" w:rsidP="00B90508">
      <w:pPr>
        <w:numPr>
          <w:ilvl w:val="0"/>
          <w:numId w:val="27"/>
        </w:numPr>
        <w:spacing w:line="276" w:lineRule="auto"/>
        <w:contextualSpacing/>
        <w:rPr>
          <w:rFonts w:eastAsiaTheme="minorEastAsia"/>
        </w:rPr>
      </w:pPr>
      <w:bookmarkStart w:id="159" w:name="_tvxeg4r1ven5" w:colFirst="0" w:colLast="0"/>
      <w:bookmarkEnd w:id="159"/>
      <w:r w:rsidRPr="00B90508">
        <w:rPr>
          <w:rFonts w:eastAsiaTheme="minorEastAsia"/>
        </w:rPr>
        <w:t>Fluvial sources of sediment and freshwater</w:t>
      </w:r>
    </w:p>
    <w:p w14:paraId="58F95D3D" w14:textId="77777777" w:rsidR="00B90508" w:rsidRPr="00B90508" w:rsidRDefault="00B90508" w:rsidP="00B90508">
      <w:pPr>
        <w:numPr>
          <w:ilvl w:val="0"/>
          <w:numId w:val="27"/>
        </w:numPr>
        <w:spacing w:line="276" w:lineRule="auto"/>
        <w:contextualSpacing/>
        <w:rPr>
          <w:rFonts w:eastAsiaTheme="minorEastAsia"/>
        </w:rPr>
      </w:pPr>
      <w:bookmarkStart w:id="160" w:name="_inmo7dlwhwgg" w:colFirst="0" w:colLast="0"/>
      <w:bookmarkEnd w:id="160"/>
      <w:r w:rsidRPr="00B90508">
        <w:rPr>
          <w:rFonts w:eastAsiaTheme="minorEastAsia"/>
        </w:rPr>
        <w:t>Detritus sources (recruitment and retention)</w:t>
      </w:r>
    </w:p>
    <w:p w14:paraId="717AD96E" w14:textId="77777777" w:rsidR="00B90508" w:rsidRPr="00B90508" w:rsidRDefault="00B90508" w:rsidP="00B90508">
      <w:pPr>
        <w:numPr>
          <w:ilvl w:val="0"/>
          <w:numId w:val="27"/>
        </w:numPr>
        <w:spacing w:line="276" w:lineRule="auto"/>
        <w:rPr>
          <w:rFonts w:eastAsiaTheme="minorEastAsia"/>
        </w:rPr>
      </w:pPr>
      <w:bookmarkStart w:id="161" w:name="_mtjx6ygsv6pu" w:colFirst="0" w:colLast="0"/>
      <w:bookmarkEnd w:id="161"/>
      <w:r w:rsidRPr="00B90508">
        <w:rPr>
          <w:rFonts w:eastAsiaTheme="minorEastAsia"/>
        </w:rPr>
        <w:t>Local geochemical and ecological processes (nutrient cycling, primary production, food web interactions)</w:t>
      </w:r>
    </w:p>
    <w:p w14:paraId="10F43CDC" w14:textId="77777777" w:rsidR="00B90508" w:rsidRPr="00B90508" w:rsidRDefault="00B90508" w:rsidP="00B90508">
      <w:pPr>
        <w:spacing w:line="276" w:lineRule="auto"/>
        <w:rPr>
          <w:rFonts w:eastAsiaTheme="minorEastAsia"/>
        </w:rPr>
      </w:pPr>
      <w:r w:rsidRPr="00B90508">
        <w:rPr>
          <w:rFonts w:eastAsiaTheme="minorEastAsia"/>
        </w:rPr>
        <w:t>For freshwater systems, life history models such as Ecosystem Diagnostic and Treatment (EDT) methods were used by the Puget Sound Salmon Recovery Plan to link environmental attributes actions</w:t>
      </w:r>
      <w:r w:rsidRPr="00B90508">
        <w:rPr>
          <w:rFonts w:eastAsiaTheme="minorEastAsia"/>
          <w:sz w:val="16"/>
          <w:szCs w:val="16"/>
        </w:rPr>
        <w:t xml:space="preserve"> </w:t>
      </w:r>
      <w:r w:rsidRPr="00B90508">
        <w:rPr>
          <w:rFonts w:eastAsiaTheme="minorEastAsia"/>
        </w:rPr>
        <w:t xml:space="preserve">and biological performance” (for salmon populations). The environmental attributes defined and used in the </w:t>
      </w:r>
      <w:r w:rsidRPr="00B90508">
        <w:rPr>
          <w:rFonts w:eastAsiaTheme="minorEastAsia"/>
        </w:rPr>
        <w:lastRenderedPageBreak/>
        <w:t xml:space="preserve">method are “those that traditionally appear in the literature to describe the relationship between biological performance and the environment.” The Alliance attributes follow a similar chain of logic but are applied to a broader suite of habitats and species. </w:t>
      </w:r>
    </w:p>
    <w:p w14:paraId="04CF8CFB" w14:textId="77777777" w:rsidR="00B90508" w:rsidRPr="00B90508" w:rsidRDefault="00B90508" w:rsidP="00B90508">
      <w:pPr>
        <w:spacing w:line="276" w:lineRule="auto"/>
        <w:rPr>
          <w:rFonts w:eastAsiaTheme="minorEastAsia"/>
        </w:rPr>
      </w:pPr>
      <w:r w:rsidRPr="00B90508">
        <w:rPr>
          <w:rFonts w:eastAsiaTheme="minorEastAsia"/>
        </w:rPr>
        <w:t>To identify and select attributes, the Alliance considered a set of questions. Questions were meant to inquire about the attribute’s relationship to focus areas’ process and function, relationship to recovery actions, ability to measure, time/resources to measure, and the general logic for selecting the attribute.</w:t>
      </w:r>
    </w:p>
    <w:p w14:paraId="2960307B" w14:textId="77777777" w:rsidR="00B90508" w:rsidRPr="00B90508" w:rsidRDefault="00B90508" w:rsidP="00B90508">
      <w:pPr>
        <w:numPr>
          <w:ilvl w:val="0"/>
          <w:numId w:val="28"/>
        </w:numPr>
        <w:spacing w:line="276" w:lineRule="auto"/>
        <w:contextualSpacing/>
        <w:rPr>
          <w:rFonts w:eastAsiaTheme="minorEastAsia"/>
        </w:rPr>
      </w:pPr>
      <w:r w:rsidRPr="00B90508">
        <w:rPr>
          <w:rFonts w:eastAsiaTheme="minorEastAsia"/>
        </w:rPr>
        <w:t>What does this attribute convey about the underlying ecosystem process responsible for forming the structure and function of the focus area?</w:t>
      </w:r>
    </w:p>
    <w:p w14:paraId="6A30BA78" w14:textId="77777777" w:rsidR="00B90508" w:rsidRPr="00B90508" w:rsidRDefault="00B90508" w:rsidP="00B90508">
      <w:pPr>
        <w:numPr>
          <w:ilvl w:val="0"/>
          <w:numId w:val="28"/>
        </w:numPr>
        <w:spacing w:line="276" w:lineRule="auto"/>
        <w:contextualSpacing/>
        <w:rPr>
          <w:rFonts w:eastAsiaTheme="minorEastAsia"/>
        </w:rPr>
      </w:pPr>
      <w:bookmarkStart w:id="162" w:name="_vhefygjdwz0n" w:colFirst="0" w:colLast="0"/>
      <w:bookmarkStart w:id="163" w:name="_anfvlm4h9397" w:colFirst="0" w:colLast="0"/>
      <w:bookmarkEnd w:id="162"/>
      <w:bookmarkEnd w:id="163"/>
      <w:r w:rsidRPr="00B90508">
        <w:rPr>
          <w:rFonts w:eastAsiaTheme="minorEastAsia"/>
        </w:rPr>
        <w:t>How would recovery actions be “shown” by this attribute? What type of recovery actions? (categories in mind included– conservation/protection, restoration, better management)</w:t>
      </w:r>
    </w:p>
    <w:p w14:paraId="6A6E7AFD" w14:textId="77777777" w:rsidR="00B90508" w:rsidRPr="00B90508" w:rsidRDefault="00B90508" w:rsidP="00B90508">
      <w:pPr>
        <w:numPr>
          <w:ilvl w:val="0"/>
          <w:numId w:val="28"/>
        </w:numPr>
        <w:spacing w:line="276" w:lineRule="auto"/>
        <w:rPr>
          <w:rFonts w:eastAsiaTheme="minorEastAsia"/>
        </w:rPr>
      </w:pPr>
      <w:bookmarkStart w:id="164" w:name="_rak95olcp3vo" w:colFirst="0" w:colLast="0"/>
      <w:bookmarkStart w:id="165" w:name="_evlou6dwv34q" w:colFirst="0" w:colLast="0"/>
      <w:bookmarkEnd w:id="164"/>
      <w:bookmarkEnd w:id="165"/>
      <w:r w:rsidRPr="00B90508">
        <w:rPr>
          <w:rFonts w:eastAsiaTheme="minorEastAsia"/>
        </w:rPr>
        <w:t>What is the relationship of this attribute to the focus area? Could the relationship be represented by other attributes that are being considered?</w:t>
      </w:r>
    </w:p>
    <w:p w14:paraId="2B711D3E" w14:textId="77777777" w:rsidR="00B90508" w:rsidRPr="00B90508" w:rsidRDefault="00B90508" w:rsidP="00B90508">
      <w:pPr>
        <w:spacing w:line="276" w:lineRule="auto"/>
        <w:rPr>
          <w:rFonts w:eastAsiaTheme="minorEastAsia"/>
        </w:rPr>
      </w:pPr>
      <w:r w:rsidRPr="00B90508">
        <w:rPr>
          <w:rFonts w:eastAsiaTheme="minorEastAsia"/>
        </w:rPr>
        <w:t xml:space="preserve">The Alliance began with a list of 90 potential attributes and narrowed it to 18. The resulting suite of attributes address all of the key physical processes that form and maintain nearshore and upland habitats, the individual marine and freshwater species that are most important to the ecosystem and human wellbeing, and constitute a complete picture of the South Sound ecosystem. </w:t>
      </w:r>
    </w:p>
    <w:p w14:paraId="2D7BAB7E" w14:textId="77777777" w:rsidR="00B90508" w:rsidRPr="00B90508" w:rsidRDefault="00B90508" w:rsidP="00B90508">
      <w:pPr>
        <w:spacing w:line="276" w:lineRule="auto"/>
        <w:rPr>
          <w:rFonts w:eastAsiaTheme="minorEastAsia"/>
        </w:rPr>
      </w:pPr>
      <w:r w:rsidRPr="00B90508">
        <w:rPr>
          <w:rFonts w:eastAsiaTheme="minorEastAsia"/>
        </w:rPr>
        <w:t xml:space="preserve"> Attributes and ecosystem focus area are shown in Table 1 below.</w:t>
      </w:r>
    </w:p>
    <w:p w14:paraId="7C6EBDB0"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t>Table 1</w:t>
      </w:r>
    </w:p>
    <w:tbl>
      <w:tblPr>
        <w:tblStyle w:val="TableGrid1"/>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4675"/>
        <w:gridCol w:w="4675"/>
      </w:tblGrid>
      <w:tr w:rsidR="00B90508" w:rsidRPr="00B90508" w14:paraId="71783A65" w14:textId="77777777" w:rsidTr="00B90508">
        <w:tc>
          <w:tcPr>
            <w:tcW w:w="4765" w:type="dxa"/>
            <w:shd w:val="clear" w:color="auto" w:fill="D9D9D9" w:themeFill="background1" w:themeFillShade="D9"/>
          </w:tcPr>
          <w:p w14:paraId="3F6FFCA1" w14:textId="77777777" w:rsidR="00B90508" w:rsidRPr="00B90508" w:rsidRDefault="00B90508" w:rsidP="00B90508">
            <w:pPr>
              <w:jc w:val="center"/>
              <w:rPr>
                <w:b/>
                <w:sz w:val="20"/>
                <w:szCs w:val="20"/>
              </w:rPr>
            </w:pPr>
            <w:r w:rsidRPr="00B90508">
              <w:rPr>
                <w:b/>
                <w:sz w:val="20"/>
                <w:szCs w:val="20"/>
              </w:rPr>
              <w:t xml:space="preserve"> Ecosystem Focus Areas</w:t>
            </w:r>
          </w:p>
        </w:tc>
        <w:tc>
          <w:tcPr>
            <w:tcW w:w="4765" w:type="dxa"/>
            <w:shd w:val="clear" w:color="auto" w:fill="D9D9D9" w:themeFill="background1" w:themeFillShade="D9"/>
          </w:tcPr>
          <w:p w14:paraId="463B7159" w14:textId="77777777" w:rsidR="00B90508" w:rsidRPr="00B90508" w:rsidRDefault="00B90508" w:rsidP="00B90508">
            <w:pPr>
              <w:jc w:val="center"/>
              <w:rPr>
                <w:b/>
                <w:sz w:val="20"/>
                <w:szCs w:val="20"/>
              </w:rPr>
            </w:pPr>
            <w:r w:rsidRPr="00B90508">
              <w:rPr>
                <w:b/>
                <w:sz w:val="20"/>
                <w:szCs w:val="20"/>
              </w:rPr>
              <w:t>Attributes</w:t>
            </w:r>
          </w:p>
        </w:tc>
      </w:tr>
      <w:tr w:rsidR="00B90508" w:rsidRPr="00B90508" w14:paraId="752A4EDF" w14:textId="77777777" w:rsidTr="00B90508">
        <w:tc>
          <w:tcPr>
            <w:tcW w:w="4765" w:type="dxa"/>
          </w:tcPr>
          <w:p w14:paraId="2C653771" w14:textId="77777777" w:rsidR="00B90508" w:rsidRPr="00DB2B36" w:rsidRDefault="00B90508" w:rsidP="00DB2B36">
            <w:pPr>
              <w:pStyle w:val="ListParagraph"/>
              <w:numPr>
                <w:ilvl w:val="0"/>
                <w:numId w:val="59"/>
              </w:numPr>
              <w:spacing w:line="276" w:lineRule="auto"/>
              <w:ind w:left="504"/>
              <w:rPr>
                <w:sz w:val="20"/>
              </w:rPr>
            </w:pPr>
            <w:r w:rsidRPr="00DB2B36">
              <w:rPr>
                <w:sz w:val="20"/>
              </w:rPr>
              <w:t>Protect and Restore Marine Nearshore Habitat</w:t>
            </w:r>
          </w:p>
          <w:p w14:paraId="420CC28B" w14:textId="77777777" w:rsidR="00B90508" w:rsidRPr="00DB2B36" w:rsidRDefault="00B90508" w:rsidP="00DB2B36">
            <w:pPr>
              <w:pStyle w:val="ListParagraph"/>
              <w:numPr>
                <w:ilvl w:val="0"/>
                <w:numId w:val="59"/>
              </w:numPr>
              <w:spacing w:line="276" w:lineRule="auto"/>
              <w:ind w:left="504"/>
              <w:rPr>
                <w:sz w:val="20"/>
              </w:rPr>
            </w:pPr>
            <w:r w:rsidRPr="00DB2B36">
              <w:rPr>
                <w:sz w:val="20"/>
              </w:rPr>
              <w:t>Expansion of Healthy Productive Shellfish Populations and Harvest</w:t>
            </w:r>
          </w:p>
          <w:p w14:paraId="7E9015D3" w14:textId="77777777" w:rsidR="00B90508" w:rsidRPr="00DB2B36" w:rsidRDefault="00B90508" w:rsidP="00DB2B36">
            <w:pPr>
              <w:pStyle w:val="ListParagraph"/>
              <w:numPr>
                <w:ilvl w:val="0"/>
                <w:numId w:val="59"/>
              </w:numPr>
              <w:spacing w:line="276" w:lineRule="auto"/>
              <w:ind w:left="504"/>
              <w:rPr>
                <w:sz w:val="20"/>
              </w:rPr>
            </w:pPr>
            <w:r w:rsidRPr="00DB2B36">
              <w:rPr>
                <w:sz w:val="20"/>
              </w:rPr>
              <w:t>Improve Marine Water Quality</w:t>
            </w:r>
          </w:p>
          <w:p w14:paraId="78A23CDB" w14:textId="77777777" w:rsidR="00B90508" w:rsidRPr="00DB2B36" w:rsidRDefault="00B90508" w:rsidP="00DB2B36">
            <w:pPr>
              <w:pStyle w:val="ListParagraph"/>
              <w:numPr>
                <w:ilvl w:val="0"/>
                <w:numId w:val="59"/>
              </w:numPr>
              <w:spacing w:line="276" w:lineRule="auto"/>
              <w:ind w:left="504"/>
              <w:rPr>
                <w:sz w:val="20"/>
              </w:rPr>
            </w:pPr>
            <w:r w:rsidRPr="00DB2B36">
              <w:rPr>
                <w:sz w:val="20"/>
              </w:rPr>
              <w:t>Protect and Restore Freshwater Wetlands and Streams</w:t>
            </w:r>
          </w:p>
          <w:p w14:paraId="03058B7C" w14:textId="77777777" w:rsidR="00B90508" w:rsidRPr="00DB2B36" w:rsidRDefault="00B90508" w:rsidP="00DB2B36">
            <w:pPr>
              <w:pStyle w:val="ListParagraph"/>
              <w:numPr>
                <w:ilvl w:val="0"/>
                <w:numId w:val="59"/>
              </w:numPr>
              <w:spacing w:line="276" w:lineRule="auto"/>
              <w:ind w:left="504"/>
              <w:rPr>
                <w:sz w:val="20"/>
              </w:rPr>
            </w:pPr>
            <w:r w:rsidRPr="00DB2B36">
              <w:rPr>
                <w:sz w:val="20"/>
              </w:rPr>
              <w:t>Improve Freshwater Water Quality</w:t>
            </w:r>
          </w:p>
          <w:p w14:paraId="06C4B325" w14:textId="77777777" w:rsidR="00B90508" w:rsidRPr="00DB2B36" w:rsidRDefault="00B90508" w:rsidP="00DB2B36">
            <w:pPr>
              <w:pStyle w:val="ListParagraph"/>
              <w:numPr>
                <w:ilvl w:val="0"/>
                <w:numId w:val="59"/>
              </w:numPr>
              <w:spacing w:line="276" w:lineRule="auto"/>
              <w:ind w:left="504"/>
              <w:rPr>
                <w:sz w:val="20"/>
              </w:rPr>
            </w:pPr>
            <w:r w:rsidRPr="00DB2B36">
              <w:rPr>
                <w:sz w:val="20"/>
              </w:rPr>
              <w:t>Protection and restoration of forests for ecosystem benefits and harvest</w:t>
            </w:r>
          </w:p>
          <w:p w14:paraId="43195488" w14:textId="77777777" w:rsidR="00B90508" w:rsidRPr="00DB2B36" w:rsidRDefault="00B90508" w:rsidP="00DB2B36">
            <w:pPr>
              <w:pStyle w:val="ListParagraph"/>
              <w:numPr>
                <w:ilvl w:val="0"/>
                <w:numId w:val="59"/>
              </w:numPr>
              <w:spacing w:line="276" w:lineRule="auto"/>
              <w:ind w:left="504"/>
              <w:rPr>
                <w:sz w:val="20"/>
              </w:rPr>
            </w:pPr>
            <w:r w:rsidRPr="00DB2B36">
              <w:rPr>
                <w:sz w:val="20"/>
              </w:rPr>
              <w:t>Increase in Abundance and Distribution of Native Salmon Species and Harvest</w:t>
            </w:r>
          </w:p>
          <w:p w14:paraId="3DCCB7D2" w14:textId="77777777" w:rsidR="00B90508" w:rsidRPr="00DB2B36" w:rsidRDefault="00B90508" w:rsidP="00DB2B36">
            <w:pPr>
              <w:pStyle w:val="ListParagraph"/>
              <w:numPr>
                <w:ilvl w:val="0"/>
                <w:numId w:val="59"/>
              </w:numPr>
              <w:spacing w:line="276" w:lineRule="auto"/>
              <w:ind w:left="504"/>
              <w:rPr>
                <w:sz w:val="20"/>
              </w:rPr>
            </w:pPr>
            <w:r w:rsidRPr="00DB2B36">
              <w:rPr>
                <w:sz w:val="20"/>
              </w:rPr>
              <w:t>Protect and Restore Prairie Oak Woodlands</w:t>
            </w:r>
          </w:p>
          <w:p w14:paraId="71B4B659" w14:textId="77777777" w:rsidR="00B90508" w:rsidRPr="00DB2B36" w:rsidRDefault="00B90508" w:rsidP="00DB2B36">
            <w:pPr>
              <w:pStyle w:val="ListParagraph"/>
              <w:numPr>
                <w:ilvl w:val="0"/>
                <w:numId w:val="59"/>
              </w:numPr>
              <w:spacing w:line="276" w:lineRule="auto"/>
              <w:ind w:left="504"/>
              <w:rPr>
                <w:sz w:val="20"/>
              </w:rPr>
            </w:pPr>
            <w:r w:rsidRPr="00DB2B36">
              <w:rPr>
                <w:sz w:val="20"/>
              </w:rPr>
              <w:t>Human well being</w:t>
            </w:r>
          </w:p>
        </w:tc>
        <w:tc>
          <w:tcPr>
            <w:tcW w:w="4765" w:type="dxa"/>
          </w:tcPr>
          <w:p w14:paraId="3CC463FA" w14:textId="77777777" w:rsidR="00B90508" w:rsidRPr="00DB2B36" w:rsidRDefault="00B90508" w:rsidP="00DB2B36">
            <w:pPr>
              <w:pStyle w:val="ListParagraph"/>
              <w:numPr>
                <w:ilvl w:val="0"/>
                <w:numId w:val="59"/>
              </w:numPr>
              <w:spacing w:line="276" w:lineRule="auto"/>
              <w:ind w:left="504"/>
              <w:rPr>
                <w:sz w:val="20"/>
              </w:rPr>
            </w:pPr>
            <w:r w:rsidRPr="00DB2B36">
              <w:rPr>
                <w:sz w:val="20"/>
              </w:rPr>
              <w:t>Marine riparian habitat</w:t>
            </w:r>
          </w:p>
          <w:p w14:paraId="553C3A2C" w14:textId="77777777" w:rsidR="00B90508" w:rsidRPr="00DB2B36" w:rsidRDefault="00B90508" w:rsidP="00DB2B36">
            <w:pPr>
              <w:pStyle w:val="ListParagraph"/>
              <w:numPr>
                <w:ilvl w:val="0"/>
                <w:numId w:val="59"/>
              </w:numPr>
              <w:spacing w:line="276" w:lineRule="auto"/>
              <w:ind w:left="504"/>
              <w:rPr>
                <w:sz w:val="20"/>
              </w:rPr>
            </w:pPr>
            <w:r w:rsidRPr="00DB2B36">
              <w:rPr>
                <w:sz w:val="20"/>
              </w:rPr>
              <w:t>Intact feeder bluff (sediment supply)</w:t>
            </w:r>
          </w:p>
          <w:p w14:paraId="02908759" w14:textId="77777777" w:rsidR="00B90508" w:rsidRPr="00DB2B36" w:rsidRDefault="00B90508" w:rsidP="00DB2B36">
            <w:pPr>
              <w:pStyle w:val="ListParagraph"/>
              <w:numPr>
                <w:ilvl w:val="0"/>
                <w:numId w:val="59"/>
              </w:numPr>
              <w:spacing w:line="276" w:lineRule="auto"/>
              <w:ind w:left="504"/>
              <w:rPr>
                <w:sz w:val="20"/>
              </w:rPr>
            </w:pPr>
            <w:r w:rsidRPr="00DB2B36">
              <w:rPr>
                <w:sz w:val="20"/>
              </w:rPr>
              <w:t>Forage fish</w:t>
            </w:r>
          </w:p>
          <w:p w14:paraId="7DA5213E" w14:textId="77777777" w:rsidR="00B90508" w:rsidRPr="00DB2B36" w:rsidRDefault="00B90508" w:rsidP="00DB2B36">
            <w:pPr>
              <w:pStyle w:val="ListParagraph"/>
              <w:numPr>
                <w:ilvl w:val="0"/>
                <w:numId w:val="59"/>
              </w:numPr>
              <w:spacing w:line="276" w:lineRule="auto"/>
              <w:ind w:left="504"/>
              <w:rPr>
                <w:sz w:val="20"/>
              </w:rPr>
            </w:pPr>
            <w:r w:rsidRPr="00DB2B36">
              <w:rPr>
                <w:sz w:val="20"/>
              </w:rPr>
              <w:t>Intact small/pocket estuaries</w:t>
            </w:r>
          </w:p>
          <w:p w14:paraId="42F94568" w14:textId="77777777" w:rsidR="00B90508" w:rsidRPr="00DB2B36" w:rsidRDefault="00B90508" w:rsidP="00DB2B36">
            <w:pPr>
              <w:pStyle w:val="ListParagraph"/>
              <w:numPr>
                <w:ilvl w:val="0"/>
                <w:numId w:val="59"/>
              </w:numPr>
              <w:spacing w:line="276" w:lineRule="auto"/>
              <w:ind w:left="504"/>
              <w:rPr>
                <w:sz w:val="20"/>
              </w:rPr>
            </w:pPr>
            <w:r w:rsidRPr="00DB2B36">
              <w:rPr>
                <w:sz w:val="20"/>
              </w:rPr>
              <w:t>Intact large estuaries</w:t>
            </w:r>
          </w:p>
          <w:p w14:paraId="6FE87754" w14:textId="77777777" w:rsidR="00B90508" w:rsidRPr="00DB2B36" w:rsidRDefault="00B90508" w:rsidP="00DB2B36">
            <w:pPr>
              <w:pStyle w:val="ListParagraph"/>
              <w:numPr>
                <w:ilvl w:val="0"/>
                <w:numId w:val="59"/>
              </w:numPr>
              <w:spacing w:line="276" w:lineRule="auto"/>
              <w:ind w:left="504"/>
              <w:rPr>
                <w:sz w:val="20"/>
              </w:rPr>
            </w:pPr>
            <w:r w:rsidRPr="00DB2B36">
              <w:rPr>
                <w:sz w:val="20"/>
              </w:rPr>
              <w:t>Eelgrass beds</w:t>
            </w:r>
          </w:p>
          <w:p w14:paraId="4436B578" w14:textId="77777777" w:rsidR="00B90508" w:rsidRPr="00DB2B36" w:rsidRDefault="00B90508" w:rsidP="00DB2B36">
            <w:pPr>
              <w:pStyle w:val="ListParagraph"/>
              <w:numPr>
                <w:ilvl w:val="0"/>
                <w:numId w:val="59"/>
              </w:numPr>
              <w:spacing w:line="276" w:lineRule="auto"/>
              <w:ind w:left="504"/>
              <w:rPr>
                <w:sz w:val="20"/>
              </w:rPr>
            </w:pPr>
            <w:r w:rsidRPr="00DB2B36">
              <w:rPr>
                <w:sz w:val="20"/>
              </w:rPr>
              <w:t>Modified shoreline</w:t>
            </w:r>
          </w:p>
          <w:p w14:paraId="01DCA26D" w14:textId="77777777" w:rsidR="00B90508" w:rsidRPr="00DB2B36" w:rsidRDefault="00B90508" w:rsidP="00DB2B36">
            <w:pPr>
              <w:pStyle w:val="ListParagraph"/>
              <w:numPr>
                <w:ilvl w:val="0"/>
                <w:numId w:val="59"/>
              </w:numPr>
              <w:spacing w:line="276" w:lineRule="auto"/>
              <w:ind w:left="504"/>
              <w:rPr>
                <w:sz w:val="20"/>
              </w:rPr>
            </w:pPr>
            <w:r w:rsidRPr="00DB2B36">
              <w:rPr>
                <w:sz w:val="20"/>
              </w:rPr>
              <w:t>Herring abundance and distribution</w:t>
            </w:r>
          </w:p>
          <w:p w14:paraId="084FDD4F" w14:textId="77777777" w:rsidR="00B90508" w:rsidRPr="00DB2B36" w:rsidRDefault="00B90508" w:rsidP="00DB2B36">
            <w:pPr>
              <w:pStyle w:val="ListParagraph"/>
              <w:numPr>
                <w:ilvl w:val="0"/>
                <w:numId w:val="59"/>
              </w:numPr>
              <w:spacing w:line="276" w:lineRule="auto"/>
              <w:ind w:left="504"/>
              <w:rPr>
                <w:sz w:val="20"/>
              </w:rPr>
            </w:pPr>
            <w:r w:rsidRPr="00DB2B36">
              <w:rPr>
                <w:sz w:val="20"/>
              </w:rPr>
              <w:t>Harvestable shellfish</w:t>
            </w:r>
          </w:p>
          <w:p w14:paraId="7AE9CB88" w14:textId="77777777" w:rsidR="00B90508" w:rsidRPr="00DB2B36" w:rsidRDefault="00B90508" w:rsidP="00DB2B36">
            <w:pPr>
              <w:pStyle w:val="ListParagraph"/>
              <w:numPr>
                <w:ilvl w:val="0"/>
                <w:numId w:val="59"/>
              </w:numPr>
              <w:spacing w:line="276" w:lineRule="auto"/>
              <w:ind w:left="504"/>
              <w:rPr>
                <w:sz w:val="20"/>
              </w:rPr>
            </w:pPr>
            <w:r w:rsidRPr="00DB2B36">
              <w:rPr>
                <w:sz w:val="20"/>
              </w:rPr>
              <w:t>Marine water quality</w:t>
            </w:r>
          </w:p>
          <w:p w14:paraId="76321B34" w14:textId="77777777" w:rsidR="00B90508" w:rsidRPr="00DB2B36" w:rsidRDefault="00B90508" w:rsidP="00DB2B36">
            <w:pPr>
              <w:pStyle w:val="ListParagraph"/>
              <w:numPr>
                <w:ilvl w:val="0"/>
                <w:numId w:val="59"/>
              </w:numPr>
              <w:spacing w:line="276" w:lineRule="auto"/>
              <w:ind w:left="504"/>
              <w:rPr>
                <w:sz w:val="20"/>
              </w:rPr>
            </w:pPr>
            <w:r w:rsidRPr="00DB2B36">
              <w:rPr>
                <w:sz w:val="20"/>
              </w:rPr>
              <w:t>Freshwater riparian habitat</w:t>
            </w:r>
          </w:p>
          <w:p w14:paraId="7B4A7FB7" w14:textId="77777777" w:rsidR="00B90508" w:rsidRPr="00DB2B36" w:rsidRDefault="00B90508" w:rsidP="00DB2B36">
            <w:pPr>
              <w:pStyle w:val="ListParagraph"/>
              <w:numPr>
                <w:ilvl w:val="0"/>
                <w:numId w:val="59"/>
              </w:numPr>
              <w:spacing w:line="276" w:lineRule="auto"/>
              <w:ind w:left="504"/>
              <w:rPr>
                <w:sz w:val="20"/>
              </w:rPr>
            </w:pPr>
            <w:r w:rsidRPr="00DB2B36">
              <w:rPr>
                <w:sz w:val="20"/>
              </w:rPr>
              <w:t>Fish passage barriers</w:t>
            </w:r>
          </w:p>
          <w:p w14:paraId="741289FC" w14:textId="77777777" w:rsidR="00B90508" w:rsidRPr="00DB2B36" w:rsidRDefault="00B90508" w:rsidP="00DB2B36">
            <w:pPr>
              <w:pStyle w:val="ListParagraph"/>
              <w:numPr>
                <w:ilvl w:val="0"/>
                <w:numId w:val="59"/>
              </w:numPr>
              <w:spacing w:line="276" w:lineRule="auto"/>
              <w:ind w:left="504"/>
              <w:rPr>
                <w:sz w:val="20"/>
              </w:rPr>
            </w:pPr>
            <w:r w:rsidRPr="00DB2B36">
              <w:rPr>
                <w:sz w:val="20"/>
              </w:rPr>
              <w:t>Summer low flows</w:t>
            </w:r>
          </w:p>
          <w:p w14:paraId="06448827" w14:textId="77777777" w:rsidR="00B90508" w:rsidRPr="00DB2B36" w:rsidRDefault="00B90508" w:rsidP="00DB2B36">
            <w:pPr>
              <w:pStyle w:val="ListParagraph"/>
              <w:numPr>
                <w:ilvl w:val="0"/>
                <w:numId w:val="59"/>
              </w:numPr>
              <w:spacing w:line="276" w:lineRule="auto"/>
              <w:ind w:left="504"/>
              <w:rPr>
                <w:sz w:val="20"/>
              </w:rPr>
            </w:pPr>
            <w:r w:rsidRPr="00DB2B36">
              <w:rPr>
                <w:sz w:val="20"/>
              </w:rPr>
              <w:t>Benthic Index of Biotic Integrity (B-IBI)</w:t>
            </w:r>
          </w:p>
          <w:p w14:paraId="0E280089" w14:textId="77777777" w:rsidR="00B90508" w:rsidRPr="00DB2B36" w:rsidRDefault="00B90508" w:rsidP="00DB2B36">
            <w:pPr>
              <w:pStyle w:val="ListParagraph"/>
              <w:numPr>
                <w:ilvl w:val="0"/>
                <w:numId w:val="59"/>
              </w:numPr>
              <w:spacing w:line="276" w:lineRule="auto"/>
              <w:ind w:left="504"/>
              <w:rPr>
                <w:sz w:val="20"/>
              </w:rPr>
            </w:pPr>
            <w:r w:rsidRPr="00DB2B36">
              <w:rPr>
                <w:sz w:val="20"/>
              </w:rPr>
              <w:t>Freshwater quality</w:t>
            </w:r>
          </w:p>
          <w:p w14:paraId="2FA93C5F" w14:textId="77777777" w:rsidR="00B90508" w:rsidRPr="00DB2B36" w:rsidRDefault="00B90508" w:rsidP="00DB2B36">
            <w:pPr>
              <w:pStyle w:val="ListParagraph"/>
              <w:numPr>
                <w:ilvl w:val="0"/>
                <w:numId w:val="59"/>
              </w:numPr>
              <w:spacing w:line="276" w:lineRule="auto"/>
              <w:ind w:left="504"/>
              <w:rPr>
                <w:sz w:val="20"/>
              </w:rPr>
            </w:pPr>
            <w:r w:rsidRPr="00DB2B36">
              <w:rPr>
                <w:sz w:val="20"/>
              </w:rPr>
              <w:t>Land cover</w:t>
            </w:r>
          </w:p>
          <w:p w14:paraId="0A7DCF9F" w14:textId="77777777" w:rsidR="00B90508" w:rsidRPr="00DB2B36" w:rsidRDefault="00B90508" w:rsidP="00DB2B36">
            <w:pPr>
              <w:pStyle w:val="ListParagraph"/>
              <w:numPr>
                <w:ilvl w:val="0"/>
                <w:numId w:val="59"/>
              </w:numPr>
              <w:spacing w:line="276" w:lineRule="auto"/>
              <w:ind w:left="504"/>
              <w:rPr>
                <w:sz w:val="20"/>
              </w:rPr>
            </w:pPr>
            <w:r w:rsidRPr="00DB2B36">
              <w:rPr>
                <w:sz w:val="20"/>
              </w:rPr>
              <w:t>Salmon presence and abundance</w:t>
            </w:r>
          </w:p>
          <w:p w14:paraId="1792C8B4" w14:textId="77777777" w:rsidR="00B90508" w:rsidRPr="00DB2B36" w:rsidRDefault="00B90508" w:rsidP="00DB2B36">
            <w:pPr>
              <w:pStyle w:val="ListParagraph"/>
              <w:numPr>
                <w:ilvl w:val="0"/>
                <w:numId w:val="59"/>
              </w:numPr>
              <w:spacing w:line="276" w:lineRule="auto"/>
              <w:ind w:left="504"/>
              <w:rPr>
                <w:sz w:val="20"/>
              </w:rPr>
            </w:pPr>
            <w:r w:rsidRPr="00DB2B36">
              <w:rPr>
                <w:sz w:val="20"/>
              </w:rPr>
              <w:t>Native prairie and oak woodlands</w:t>
            </w:r>
          </w:p>
        </w:tc>
      </w:tr>
    </w:tbl>
    <w:p w14:paraId="7320A4AA" w14:textId="77777777" w:rsidR="00B90508" w:rsidRPr="00B90508" w:rsidRDefault="00B90508" w:rsidP="00B90508">
      <w:pPr>
        <w:spacing w:line="276" w:lineRule="auto"/>
        <w:rPr>
          <w:rFonts w:eastAsiaTheme="minorEastAsia"/>
        </w:rPr>
        <w:sectPr w:rsidR="00B90508" w:rsidRPr="00B90508" w:rsidSect="00B90508">
          <w:pgSz w:w="12240" w:h="15840"/>
          <w:pgMar w:top="1440" w:right="1440" w:bottom="1440" w:left="1440" w:header="720" w:footer="720" w:gutter="0"/>
          <w:cols w:space="720"/>
        </w:sectPr>
      </w:pPr>
    </w:p>
    <w:p w14:paraId="4659FE13"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166" w:name="_2wq53v9uivwj" w:colFirst="0" w:colLast="0"/>
      <w:bookmarkStart w:id="167" w:name="_7kvpffsbwtd9" w:colFirst="0" w:colLast="0"/>
      <w:bookmarkStart w:id="168" w:name="_Toc463000000"/>
      <w:bookmarkEnd w:id="166"/>
      <w:bookmarkEnd w:id="167"/>
      <w:r w:rsidRPr="00B90508">
        <w:rPr>
          <w:rFonts w:eastAsiaTheme="majorEastAsia" w:cstheme="minorHAnsi"/>
          <w:b/>
          <w:color w:val="FFFFFF" w:themeColor="background1"/>
          <w:sz w:val="36"/>
          <w:szCs w:val="36"/>
        </w:rPr>
        <w:lastRenderedPageBreak/>
        <w:t>South Sound Pressures</w:t>
      </w:r>
      <w:bookmarkEnd w:id="168"/>
      <w:r w:rsidRPr="00B90508">
        <w:rPr>
          <w:rFonts w:eastAsiaTheme="majorEastAsia" w:cstheme="minorHAnsi"/>
          <w:b/>
          <w:color w:val="FFFFFF" w:themeColor="background1"/>
          <w:sz w:val="36"/>
          <w:szCs w:val="36"/>
        </w:rPr>
        <w:t xml:space="preserve"> </w:t>
      </w:r>
    </w:p>
    <w:p w14:paraId="05750389" w14:textId="77777777" w:rsidR="00B90508" w:rsidRPr="00B90508" w:rsidRDefault="00B90508" w:rsidP="00B90508">
      <w:pPr>
        <w:spacing w:line="276" w:lineRule="auto"/>
        <w:rPr>
          <w:rFonts w:eastAsiaTheme="minorEastAsia"/>
        </w:rPr>
      </w:pPr>
      <w:bookmarkStart w:id="169" w:name="_upk3grjlj4b7" w:colFirst="0" w:colLast="0"/>
      <w:bookmarkStart w:id="170" w:name="_3d13pptg8m6t" w:colFirst="0" w:colLast="0"/>
      <w:bookmarkEnd w:id="169"/>
      <w:bookmarkEnd w:id="170"/>
      <w:r w:rsidRPr="00B90508">
        <w:rPr>
          <w:rFonts w:eastAsiaTheme="minorEastAsia"/>
        </w:rPr>
        <w:t xml:space="preserve">Pressures are human activities that give rise to stress in the ecosystem, such as development and pollution, and stressors are the proximate causes of change in the environment, such as shoreline armoring associated with development. Pressures and stressors are roughly equivalent to limiting factors as that term is used in salmon recovery planning, in that, like salmon limiting factors they disrupt natural processes and reduce the distribution, abundance, and viability of native species. Pressures and stressors focus entirely on human activities, whereas limiting factors analyses often include natural processes (such as drought or flood) as well. </w:t>
      </w:r>
    </w:p>
    <w:p w14:paraId="75155012" w14:textId="77777777" w:rsidR="00B90508" w:rsidRPr="00B90508" w:rsidRDefault="00B90508" w:rsidP="00B90508">
      <w:pPr>
        <w:spacing w:line="276" w:lineRule="auto"/>
        <w:rPr>
          <w:rFonts w:eastAsiaTheme="minorEastAsia"/>
        </w:rPr>
      </w:pPr>
      <w:r w:rsidRPr="00B90508">
        <w:rPr>
          <w:rFonts w:eastAsiaTheme="minorEastAsia"/>
        </w:rPr>
        <w:t>In the South Sound, as in other parts of Puget Sound, many human activities create stress on the ecosystem, and influence and may disrupt many natural processes. Intact natural processes are critical for maintaining a sustainable and productive ecosystem, an ecosystem that provides goods and services vital to the South Sound economy and healthy, thriving human communities, including:</w:t>
      </w:r>
    </w:p>
    <w:p w14:paraId="4DADB04F" w14:textId="77777777" w:rsidR="00B90508" w:rsidRPr="00B90508" w:rsidRDefault="00B90508" w:rsidP="00B90508">
      <w:pPr>
        <w:numPr>
          <w:ilvl w:val="0"/>
          <w:numId w:val="32"/>
        </w:numPr>
        <w:spacing w:line="276" w:lineRule="auto"/>
        <w:contextualSpacing/>
        <w:rPr>
          <w:rFonts w:eastAsiaTheme="minorEastAsia"/>
        </w:rPr>
      </w:pPr>
      <w:r w:rsidRPr="00B90508">
        <w:rPr>
          <w:rFonts w:eastAsiaTheme="minorEastAsia"/>
        </w:rPr>
        <w:t>Clean and abundant water for human use and consumption.</w:t>
      </w:r>
    </w:p>
    <w:p w14:paraId="1B51A496" w14:textId="77777777" w:rsidR="00B90508" w:rsidRPr="00B90508" w:rsidRDefault="00B90508" w:rsidP="00B90508">
      <w:pPr>
        <w:numPr>
          <w:ilvl w:val="0"/>
          <w:numId w:val="32"/>
        </w:numPr>
        <w:spacing w:line="276" w:lineRule="auto"/>
        <w:contextualSpacing/>
        <w:rPr>
          <w:rFonts w:eastAsiaTheme="minorEastAsia"/>
        </w:rPr>
      </w:pPr>
      <w:r w:rsidRPr="00B90508">
        <w:rPr>
          <w:rFonts w:eastAsiaTheme="minorEastAsia"/>
        </w:rPr>
        <w:t>Natural resource-based industries such as fishing, shellfishing and shellfish aquaculture, agriculture, and forestry.</w:t>
      </w:r>
    </w:p>
    <w:p w14:paraId="2623D8D3" w14:textId="77777777" w:rsidR="00B90508" w:rsidRPr="00B90508" w:rsidRDefault="00B90508" w:rsidP="00B90508">
      <w:pPr>
        <w:numPr>
          <w:ilvl w:val="0"/>
          <w:numId w:val="32"/>
        </w:numPr>
        <w:spacing w:line="276" w:lineRule="auto"/>
        <w:contextualSpacing/>
        <w:rPr>
          <w:rFonts w:eastAsiaTheme="minorEastAsia"/>
        </w:rPr>
      </w:pPr>
      <w:r w:rsidRPr="00B90508">
        <w:rPr>
          <w:rFonts w:eastAsiaTheme="minorEastAsia"/>
        </w:rPr>
        <w:t>Cultural and traditional uses guaranteed to South Sound Tribal Nations.</w:t>
      </w:r>
    </w:p>
    <w:p w14:paraId="4841D152" w14:textId="77777777" w:rsidR="00B90508" w:rsidRPr="00B90508" w:rsidRDefault="00B90508" w:rsidP="00B90508">
      <w:pPr>
        <w:numPr>
          <w:ilvl w:val="0"/>
          <w:numId w:val="32"/>
        </w:numPr>
        <w:spacing w:line="276" w:lineRule="auto"/>
        <w:contextualSpacing/>
        <w:rPr>
          <w:rFonts w:eastAsiaTheme="minorEastAsia"/>
        </w:rPr>
      </w:pPr>
      <w:r w:rsidRPr="00B90508">
        <w:rPr>
          <w:rFonts w:eastAsiaTheme="minorEastAsia"/>
        </w:rPr>
        <w:t>Recreation and tourism values.</w:t>
      </w:r>
    </w:p>
    <w:p w14:paraId="2008193F" w14:textId="77777777" w:rsidR="00B90508" w:rsidRPr="00B90508" w:rsidRDefault="00B90508" w:rsidP="00DB2B36">
      <w:pPr>
        <w:numPr>
          <w:ilvl w:val="0"/>
          <w:numId w:val="32"/>
        </w:numPr>
        <w:spacing w:line="276" w:lineRule="auto"/>
        <w:rPr>
          <w:rFonts w:eastAsiaTheme="minorEastAsia"/>
        </w:rPr>
      </w:pPr>
      <w:r w:rsidRPr="00B90508">
        <w:rPr>
          <w:rFonts w:eastAsiaTheme="minorEastAsia"/>
        </w:rPr>
        <w:t>Aesthetic values and other culturally and economically important services.</w:t>
      </w:r>
    </w:p>
    <w:p w14:paraId="71BD5349" w14:textId="77777777" w:rsidR="00B90508" w:rsidRPr="00B90508" w:rsidRDefault="00B90508" w:rsidP="00B90508">
      <w:pPr>
        <w:spacing w:line="276" w:lineRule="auto"/>
        <w:rPr>
          <w:rFonts w:eastAsiaTheme="minorEastAsia"/>
        </w:rPr>
      </w:pPr>
      <w:bookmarkStart w:id="171" w:name="_wjdaavjmpt2p" w:colFirst="0" w:colLast="0"/>
      <w:bookmarkEnd w:id="171"/>
      <w:r w:rsidRPr="00B90508">
        <w:rPr>
          <w:rFonts w:eastAsiaTheme="minorEastAsia"/>
        </w:rPr>
        <w:t>Preparing a list of priority human pressures on the ecosystem is a complex task for at least two reasons. First, many activities that can threaten or disrupt natural processes (“pressures”) also provide important benefits to humans (see above). The goal, therefore, is not to eliminate all pressures, but instead to understand and manage their influence to optimize both ecosystem and human benefits. Second, pressures operate on a series of nested spatial and temporal scales such that the most significant pressure in any given sub-watershed or any particular drift cell is highly dependent on the particular conditions and context in each specific place. AHSS identified pressures to highlight in this deliverable using existing assessments. Most pressures assessments, including the ones used here, focus at least in part on the prevalence of the pressure in the environment. This means places that are relatively less impacted by existing pressures, or pressures that have not yet been fully expressed, may show up as “lower” priority when, in fact, they should be the focus of special attention to prevent adverse impacts in the future. Similarly, pressures operate differently on different natural process or species endpoints, so a pressure that may appear less important overall may nonetheless be critically important to a particular species in a particular place.</w:t>
      </w:r>
    </w:p>
    <w:p w14:paraId="073109B7" w14:textId="77777777" w:rsidR="00B90508" w:rsidRPr="00B90508" w:rsidRDefault="00B90508" w:rsidP="00B90508">
      <w:pPr>
        <w:spacing w:line="276" w:lineRule="auto"/>
        <w:rPr>
          <w:rFonts w:eastAsiaTheme="minorEastAsia"/>
        </w:rPr>
      </w:pPr>
      <w:bookmarkStart w:id="172" w:name="_crqysairj046" w:colFirst="0" w:colLast="0"/>
      <w:bookmarkEnd w:id="172"/>
      <w:r w:rsidRPr="00B90508">
        <w:rPr>
          <w:rFonts w:eastAsiaTheme="minorEastAsia"/>
        </w:rPr>
        <w:t>In 2014 AHSS prepared a list of priority human pressures in South Puget Sound and used that list to shape identification of recovery sub-strategies and Near Term Actions submitted for inclusion in the 2014 Puget Sound Action Agenda. To prepare an updated list of human pressures on the South Sound ecosystem for this effort, AHSS started from the 2014 work and examined two additional recent pressure assessments:</w:t>
      </w:r>
    </w:p>
    <w:p w14:paraId="7F4E5E0F" w14:textId="77777777" w:rsidR="00B90508" w:rsidRPr="00B90508" w:rsidRDefault="00B90508" w:rsidP="00B90508">
      <w:pPr>
        <w:numPr>
          <w:ilvl w:val="0"/>
          <w:numId w:val="33"/>
        </w:numPr>
        <w:spacing w:line="276" w:lineRule="auto"/>
        <w:contextualSpacing/>
        <w:rPr>
          <w:rFonts w:eastAsiaTheme="minorEastAsia"/>
        </w:rPr>
      </w:pPr>
      <w:bookmarkStart w:id="173" w:name="_b64bfphgtas2" w:colFirst="0" w:colLast="0"/>
      <w:bookmarkEnd w:id="173"/>
      <w:r w:rsidRPr="00B90508">
        <w:rPr>
          <w:rFonts w:eastAsiaTheme="minorEastAsia"/>
        </w:rPr>
        <w:lastRenderedPageBreak/>
        <w:t>The Monitoring and Adaptive Management Phase 1 effort, completed in late 2014, examined and updated pressures on salmon throughout the South Sound and produced results for the South Sound watersheds and the Nisqually watershed. This process worked from existing pressure evaluations captured in the All Salmonid Species Recovery Plan for the Marine Waters of South Puget Sound and the Chinook Salmon Recovery Plan for the Nisqually Watershed and relied on local experts to evaluate and generate updated pressures lists.</w:t>
      </w:r>
      <w:bookmarkStart w:id="174" w:name="_1kcrzran8gmz" w:colFirst="0" w:colLast="0"/>
      <w:bookmarkEnd w:id="174"/>
    </w:p>
    <w:p w14:paraId="7C7B6892" w14:textId="77777777" w:rsidR="00B90508" w:rsidRPr="00B90508" w:rsidRDefault="00B90508" w:rsidP="00DB2B36">
      <w:pPr>
        <w:numPr>
          <w:ilvl w:val="0"/>
          <w:numId w:val="33"/>
        </w:numPr>
        <w:spacing w:line="276" w:lineRule="auto"/>
        <w:rPr>
          <w:rFonts w:eastAsiaTheme="minorEastAsia"/>
        </w:rPr>
      </w:pPr>
      <w:r w:rsidRPr="00B90508">
        <w:rPr>
          <w:rFonts w:eastAsiaTheme="minorEastAsia"/>
        </w:rPr>
        <w:t>The Puget Sound Pressures Assessment, completed in late 2014, used a combination of structured expert elicitation and geospatial analysis to rank the potential impact of human stressors. These stressors can be cross-walked with their sources to generate lists of pressures. Results are provided for South Sound watersheds and for the Nisqually watershed.</w:t>
      </w:r>
    </w:p>
    <w:p w14:paraId="2567A473" w14:textId="77777777" w:rsidR="00B90508" w:rsidRPr="00B90508" w:rsidRDefault="00B90508" w:rsidP="00B90508">
      <w:pPr>
        <w:spacing w:line="276" w:lineRule="auto"/>
        <w:rPr>
          <w:rFonts w:eastAsiaTheme="minorEastAsia"/>
        </w:rPr>
      </w:pPr>
      <w:bookmarkStart w:id="175" w:name="_x7cf2e1cbi6t" w:colFirst="0" w:colLast="0"/>
      <w:bookmarkEnd w:id="175"/>
      <w:r w:rsidRPr="00B90508">
        <w:rPr>
          <w:rFonts w:eastAsiaTheme="minorEastAsia"/>
        </w:rPr>
        <w:t>Each assessment was reviewed, and individual assessment results were tabulated, along with the 2014 AHSS priority pressures list. Two of the assessments, the 2014 AHSS work and the Puget Sound Pressures Assessment, produced results at the stressor level. Stressor results were cross-walked to the standard menu of human pressures used in PSP recovery planning for comparison to the other assessments.</w:t>
      </w:r>
    </w:p>
    <w:p w14:paraId="141C898D" w14:textId="77777777" w:rsidR="00B90508" w:rsidRPr="00B90508" w:rsidRDefault="00B90508" w:rsidP="00B90508">
      <w:pPr>
        <w:spacing w:line="276" w:lineRule="auto"/>
        <w:rPr>
          <w:rFonts w:eastAsiaTheme="minorEastAsia"/>
        </w:rPr>
      </w:pPr>
      <w:r w:rsidRPr="00B90508">
        <w:rPr>
          <w:rFonts w:eastAsiaTheme="minorEastAsia"/>
        </w:rPr>
        <w:t>The result of these efforts is a set of tables that allows comparison across the existing assessments. A binning process was used to identify pressures that were ranked highly in multiple assessments. Pressures that were identified as priorities in both of the locally focused assessments (the 2014 South Sound work and the monitoring and adaptive management work) were placed in bin 1; pressures identified as priorities in one or more of the locally focused assessments were placed in bin 2.</w:t>
      </w:r>
    </w:p>
    <w:p w14:paraId="25D59B6C" w14:textId="77777777" w:rsidR="00B90508" w:rsidRPr="00B90508" w:rsidRDefault="00B90508" w:rsidP="00B90508">
      <w:pPr>
        <w:spacing w:line="276" w:lineRule="auto"/>
        <w:rPr>
          <w:rFonts w:eastAsiaTheme="minorEastAsia"/>
        </w:rPr>
      </w:pPr>
      <w:bookmarkStart w:id="176" w:name="_j7yduk6cns58" w:colFirst="0" w:colLast="0"/>
      <w:bookmarkStart w:id="177" w:name="_runs1ajh3yb8" w:colFirst="0" w:colLast="0"/>
      <w:bookmarkEnd w:id="176"/>
      <w:bookmarkEnd w:id="177"/>
      <w:r w:rsidRPr="00B90508">
        <w:rPr>
          <w:rFonts w:eastAsiaTheme="minorEastAsia"/>
        </w:rPr>
        <w:t xml:space="preserve">AHSS focused this initial recovery planning work on the subset of pressures that were identified as priorities in both local pressure assessments (i.e., bin 1, as described above). These are the following pressures: </w:t>
      </w:r>
      <w:r w:rsidRPr="00B90508">
        <w:rPr>
          <w:rFonts w:eastAsiaTheme="minorEastAsia"/>
          <w:b/>
        </w:rPr>
        <w:t>Housing &amp; Urban Areas; Roads and Railroads (including culverts); Shipping Lands and Dredged Waterways; Abstraction of Surface Water; Abstraction of Ground Water; Freshwater Shoreline Infrastructure; Marine Shoreline Infrastructure; Domestic and Municipal Wastewater to Sewer; Runoff from Residential and Commercial Lands; Agricultural and Forestry Effluents; and Air-Borne Pollutants</w:t>
      </w:r>
      <w:r w:rsidRPr="00B90508">
        <w:rPr>
          <w:rFonts w:eastAsiaTheme="minorEastAsia"/>
        </w:rPr>
        <w:t xml:space="preserve">. To that list the AHSS Technical Team recommended, and the AHSS Executive Committee approved, addition of two stressors that were identified in only one of the local assessments but are known and significant problems in the south sound: </w:t>
      </w:r>
      <w:r w:rsidRPr="00B90508">
        <w:rPr>
          <w:rFonts w:eastAsiaTheme="minorEastAsia"/>
          <w:b/>
        </w:rPr>
        <w:t>Dams</w:t>
      </w:r>
      <w:r w:rsidRPr="00B90508">
        <w:rPr>
          <w:rFonts w:eastAsiaTheme="minorEastAsia"/>
        </w:rPr>
        <w:t xml:space="preserve">, </w:t>
      </w:r>
      <w:r w:rsidRPr="00B90508">
        <w:rPr>
          <w:rFonts w:eastAsiaTheme="minorEastAsia"/>
          <w:b/>
        </w:rPr>
        <w:t>Freshwater and Marine Levees, Floodgates, Tidegates</w:t>
      </w:r>
      <w:r w:rsidRPr="00B90508">
        <w:rPr>
          <w:rFonts w:eastAsiaTheme="minorEastAsia"/>
        </w:rPr>
        <w:t>,</w:t>
      </w:r>
      <w:r w:rsidRPr="00B90508">
        <w:rPr>
          <w:rFonts w:eastAsiaTheme="minorEastAsia"/>
          <w:b/>
        </w:rPr>
        <w:t xml:space="preserve"> </w:t>
      </w:r>
      <w:r w:rsidRPr="00B90508">
        <w:rPr>
          <w:rFonts w:eastAsiaTheme="minorEastAsia"/>
        </w:rPr>
        <w:t xml:space="preserve">and </w:t>
      </w:r>
      <w:r w:rsidRPr="00B90508">
        <w:rPr>
          <w:rFonts w:eastAsiaTheme="minorEastAsia"/>
          <w:b/>
        </w:rPr>
        <w:t>Domestic and Commercial Waste Water to On Site Sewage</w:t>
      </w:r>
      <w:r w:rsidRPr="00B90508">
        <w:rPr>
          <w:rFonts w:eastAsiaTheme="minorEastAsia"/>
        </w:rPr>
        <w:t>.</w:t>
      </w:r>
    </w:p>
    <w:p w14:paraId="0EB856BA" w14:textId="77777777" w:rsidR="00B90508" w:rsidRPr="00B90508" w:rsidRDefault="00B90508" w:rsidP="00B90508">
      <w:pPr>
        <w:spacing w:line="276" w:lineRule="auto"/>
        <w:rPr>
          <w:rFonts w:eastAsiaTheme="minorEastAsia"/>
        </w:rPr>
      </w:pPr>
      <w:bookmarkStart w:id="178" w:name="_698irt1o6nb1" w:colFirst="0" w:colLast="0"/>
      <w:bookmarkStart w:id="179" w:name="_psdrxlhk2evt" w:colFirst="0" w:colLast="0"/>
      <w:bookmarkEnd w:id="178"/>
      <w:bookmarkEnd w:id="179"/>
      <w:r w:rsidRPr="00B90508">
        <w:rPr>
          <w:rFonts w:eastAsiaTheme="minorEastAsia"/>
        </w:rPr>
        <w:t>Pressures were then cross-walked to stressors using the PSPA stressor/pressure crosswalk provided by PSP, emphasizing stressors that had a “high” or “very high” relationship to initial priority pressures. Pressures/stressors from the resulting menu were crosswalked to the PSP substrategies identified by AHSS as best representing our current and emerging work, and then were further reduced (or focused) based on the content of AHSS’s current near-term actions included in the 2014 Action Agenda. This resulted in a quite limited list of pressures and stressors to highlight in this initial effort, as follows.</w:t>
      </w:r>
    </w:p>
    <w:p w14:paraId="50E3E4E7" w14:textId="77777777" w:rsidR="00B90508" w:rsidRPr="00B90508" w:rsidRDefault="00B90508" w:rsidP="00B90508">
      <w:pPr>
        <w:spacing w:line="276" w:lineRule="auto"/>
        <w:rPr>
          <w:rFonts w:eastAsiaTheme="minorEastAsia"/>
        </w:rPr>
      </w:pPr>
      <w:bookmarkStart w:id="180" w:name="_2ovktc22mrtd" w:colFirst="0" w:colLast="0"/>
      <w:bookmarkStart w:id="181" w:name="_c7l2xm61wz4z" w:colFirst="0" w:colLast="0"/>
      <w:bookmarkEnd w:id="180"/>
      <w:bookmarkEnd w:id="181"/>
      <w:r w:rsidRPr="00B90508">
        <w:rPr>
          <w:rFonts w:eastAsiaTheme="minorEastAsia"/>
          <w:b/>
        </w:rPr>
        <w:t>Housing &amp; Urban Areas, Commercial &amp; Industrial Areas, Tourism &amp; Recreation Areas, Annual &amp; Perennial Non-Timber Crops, Runoff from Residential and Commercial Lands</w:t>
      </w:r>
      <w:r w:rsidRPr="00B90508">
        <w:rPr>
          <w:rFonts w:eastAsiaTheme="minorEastAsia"/>
        </w:rPr>
        <w:t xml:space="preserve">: these pressures are grouped because they generally represent pressure on the natural environment in the form of increased </w:t>
      </w:r>
      <w:r w:rsidRPr="00B90508">
        <w:rPr>
          <w:rFonts w:eastAsiaTheme="minorEastAsia"/>
        </w:rPr>
        <w:lastRenderedPageBreak/>
        <w:t>stormwater runoff, uptake of freshwater resources for human consumption, increased coverage by impervious surfaces, and altered peak and low water flows.</w:t>
      </w:r>
    </w:p>
    <w:p w14:paraId="51D148C2" w14:textId="77777777" w:rsidR="00B90508" w:rsidRPr="00B90508" w:rsidRDefault="00B90508" w:rsidP="00B90508">
      <w:pPr>
        <w:spacing w:line="276" w:lineRule="auto"/>
        <w:rPr>
          <w:rFonts w:eastAsiaTheme="minorEastAsia"/>
        </w:rPr>
      </w:pPr>
      <w:bookmarkStart w:id="182" w:name="_m5loi5c4fbam" w:colFirst="0" w:colLast="0"/>
      <w:bookmarkStart w:id="183" w:name="_141onlnopqft" w:colFirst="0" w:colLast="0"/>
      <w:bookmarkEnd w:id="182"/>
      <w:bookmarkEnd w:id="183"/>
      <w:r w:rsidRPr="00B90508">
        <w:rPr>
          <w:rFonts w:eastAsiaTheme="minorEastAsia"/>
          <w:b/>
        </w:rPr>
        <w:t>Roads &amp; Railroads (Including Culverts)</w:t>
      </w:r>
      <w:r w:rsidRPr="00B90508">
        <w:rPr>
          <w:rFonts w:eastAsiaTheme="minorEastAsia"/>
        </w:rPr>
        <w:t>: transportation infrastructure in South Sound has a significant impact on ecosystem function. Vehicle pollution and runoff into freshwater and marine water systems, and impediments to natural ecosystem function such as railroad levees and culverts, are significant stressors.</w:t>
      </w:r>
    </w:p>
    <w:p w14:paraId="64E12852" w14:textId="77777777" w:rsidR="00B90508" w:rsidRPr="00B90508" w:rsidRDefault="00B90508" w:rsidP="00B90508">
      <w:pPr>
        <w:spacing w:line="276" w:lineRule="auto"/>
        <w:rPr>
          <w:rFonts w:eastAsiaTheme="minorEastAsia"/>
        </w:rPr>
      </w:pPr>
      <w:bookmarkStart w:id="184" w:name="_9dvjfgf50dyw" w:colFirst="0" w:colLast="0"/>
      <w:bookmarkStart w:id="185" w:name="_kaje1b4a9nvw" w:colFirst="0" w:colLast="0"/>
      <w:bookmarkEnd w:id="184"/>
      <w:bookmarkEnd w:id="185"/>
      <w:r w:rsidRPr="00B90508">
        <w:rPr>
          <w:rFonts w:eastAsiaTheme="minorEastAsia"/>
          <w:b/>
        </w:rPr>
        <w:t>Freshwater &amp; Marine Levees, Floodgates &amp; Tidegates, and Freshwater &amp; Marine Shoreline Infrastructure, Dams</w:t>
      </w:r>
      <w:r w:rsidRPr="00B90508">
        <w:rPr>
          <w:rFonts w:eastAsiaTheme="minorEastAsia"/>
        </w:rPr>
        <w:t>: this group of pressures shares several related stressors, including shoreline hardening, culverts and other fish passage barriers, altered peak and low flows from land cover change, prevention of flood flows, and shading of shallow water habitat. Addressing these pressures is considered a vital element of restoring natural ecosystem function in South Sound.</w:t>
      </w:r>
    </w:p>
    <w:p w14:paraId="2CD4B692" w14:textId="77777777" w:rsidR="00B90508" w:rsidRPr="00B90508" w:rsidRDefault="00B90508" w:rsidP="00B90508">
      <w:pPr>
        <w:spacing w:line="276" w:lineRule="auto"/>
        <w:rPr>
          <w:rFonts w:eastAsiaTheme="minorEastAsia"/>
        </w:rPr>
      </w:pPr>
      <w:bookmarkStart w:id="186" w:name="_xnfghc6tj9f4" w:colFirst="0" w:colLast="0"/>
      <w:bookmarkStart w:id="187" w:name="_xnt90c4eu94a" w:colFirst="0" w:colLast="0"/>
      <w:bookmarkEnd w:id="186"/>
      <w:bookmarkEnd w:id="187"/>
      <w:r w:rsidRPr="00B90508">
        <w:rPr>
          <w:rFonts w:eastAsiaTheme="minorEastAsia"/>
          <w:b/>
        </w:rPr>
        <w:t>Agricultural &amp; Forestry Effluents</w:t>
      </w:r>
      <w:r w:rsidRPr="00B90508">
        <w:rPr>
          <w:rFonts w:eastAsiaTheme="minorEastAsia"/>
        </w:rPr>
        <w:t>: given the large number of tribal, private, and government-owned forest lands, in addition to significant agricultural activities, South Sound partners are concerned with limiting persistent toxic chemicals in aquatic systems as well as conventional water pollutants.</w:t>
      </w:r>
    </w:p>
    <w:p w14:paraId="776CBE47" w14:textId="77777777" w:rsidR="00B90508" w:rsidRPr="00B90508" w:rsidRDefault="00B90508" w:rsidP="00B90508">
      <w:pPr>
        <w:spacing w:line="276" w:lineRule="auto"/>
        <w:rPr>
          <w:rFonts w:eastAsiaTheme="minorEastAsia"/>
        </w:rPr>
      </w:pPr>
      <w:bookmarkStart w:id="188" w:name="_si5xvzy5bd4p" w:colFirst="0" w:colLast="0"/>
      <w:bookmarkStart w:id="189" w:name="_44i06qtyzdfz" w:colFirst="0" w:colLast="0"/>
      <w:bookmarkEnd w:id="188"/>
      <w:bookmarkEnd w:id="189"/>
      <w:r w:rsidRPr="00B90508">
        <w:rPr>
          <w:rFonts w:eastAsiaTheme="minorEastAsia"/>
          <w:b/>
        </w:rPr>
        <w:t>OSS - Domestic and Commercial Wastewater to On-site Sewage Systems</w:t>
      </w:r>
      <w:r w:rsidRPr="00B90508">
        <w:rPr>
          <w:rFonts w:eastAsiaTheme="minorEastAsia"/>
        </w:rPr>
        <w:t>: limiting the introduction, spread, or amplification of human pathogens into South Sound’s ecosystem affects multiple South Sound Vital Signs, including marine water quality, swimming beaches, shellfish beds, and freshwater quality.</w:t>
      </w:r>
    </w:p>
    <w:p w14:paraId="21CC8F53" w14:textId="77777777" w:rsidR="00B90508" w:rsidRPr="00B90508" w:rsidRDefault="00B90508" w:rsidP="00B90508">
      <w:pPr>
        <w:spacing w:line="276" w:lineRule="auto"/>
        <w:rPr>
          <w:rFonts w:eastAsiaTheme="minorEastAsia"/>
        </w:rPr>
      </w:pPr>
      <w:bookmarkStart w:id="190" w:name="_gv0tga9bhelz" w:colFirst="0" w:colLast="0"/>
      <w:bookmarkStart w:id="191" w:name="_r6s3m8m0zs64" w:colFirst="0" w:colLast="0"/>
      <w:bookmarkEnd w:id="190"/>
      <w:bookmarkEnd w:id="191"/>
      <w:r w:rsidRPr="00B90508">
        <w:rPr>
          <w:rFonts w:eastAsiaTheme="minorEastAsia"/>
        </w:rPr>
        <w:t xml:space="preserve">These pressures are consistent with the pressures that are addressed by the actions put forward in the 2016 Action Agenda and continue to provide the initial focus for AHSS recovery planning in the South Sound. </w:t>
      </w:r>
      <w:bookmarkStart w:id="192" w:name="_2kl8araciezb" w:colFirst="0" w:colLast="0"/>
      <w:bookmarkEnd w:id="192"/>
    </w:p>
    <w:p w14:paraId="3FA31B6D" w14:textId="77777777" w:rsidR="00B90508" w:rsidRPr="00B90508" w:rsidRDefault="00B90508" w:rsidP="00B90508">
      <w:pPr>
        <w:spacing w:line="276" w:lineRule="auto"/>
        <w:rPr>
          <w:rFonts w:eastAsiaTheme="minorEastAsia"/>
        </w:rPr>
      </w:pPr>
      <w:r w:rsidRPr="00B90508">
        <w:rPr>
          <w:rFonts w:eastAsiaTheme="minorEastAsia"/>
        </w:rPr>
        <w:t xml:space="preserve">As part of recovery planning, AHSS explored these pressures in a series of conceptual models in Miradi. Conceptual models describe how pressures and stressors act on the South Sound ecosystem. They also describe our sense of the actions, attitudes, and external factors that give rise to (or amplify) pressures, and identify strategies to address these factors and thereby lessen the adverse effects of pressures on ecosystem processes and functions. Conceptual models can be found in Appendix B. </w:t>
      </w:r>
    </w:p>
    <w:p w14:paraId="6F5FE7E1" w14:textId="77777777" w:rsidR="00B90508" w:rsidRPr="00B90508" w:rsidRDefault="00B90508" w:rsidP="00B90508">
      <w:pPr>
        <w:spacing w:line="276" w:lineRule="auto"/>
        <w:rPr>
          <w:rFonts w:eastAsiaTheme="minorEastAsia"/>
        </w:rPr>
        <w:sectPr w:rsidR="00B90508" w:rsidRPr="00B90508" w:rsidSect="00B90508">
          <w:pgSz w:w="12240" w:h="15840"/>
          <w:pgMar w:top="1440" w:right="1440" w:bottom="1440" w:left="1440" w:header="720" w:footer="720" w:gutter="0"/>
          <w:cols w:space="720"/>
        </w:sectPr>
      </w:pPr>
    </w:p>
    <w:p w14:paraId="4D4FA749"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193" w:name="_Toc463000001"/>
      <w:r w:rsidRPr="00B90508">
        <w:rPr>
          <w:rFonts w:eastAsiaTheme="majorEastAsia" w:cstheme="minorHAnsi"/>
          <w:b/>
          <w:color w:val="FFFFFF" w:themeColor="background1"/>
          <w:sz w:val="36"/>
          <w:szCs w:val="36"/>
        </w:rPr>
        <w:lastRenderedPageBreak/>
        <w:t>Target Setting &amp; Targets</w:t>
      </w:r>
      <w:bookmarkEnd w:id="193"/>
    </w:p>
    <w:p w14:paraId="03D181CD" w14:textId="77777777" w:rsidR="00B90508" w:rsidRPr="00B90508" w:rsidRDefault="00B90508" w:rsidP="00B90508">
      <w:pPr>
        <w:spacing w:line="276" w:lineRule="auto"/>
        <w:rPr>
          <w:rFonts w:eastAsiaTheme="minorEastAsia"/>
        </w:rPr>
      </w:pPr>
      <w:r w:rsidRPr="00B90508">
        <w:rPr>
          <w:rFonts w:eastAsiaTheme="minorEastAsia"/>
        </w:rPr>
        <w:t>Once selected, attributes were examined for their suitability for setting a numerical target as a desired future condition. When considering which attributes to identify for target setting, the Alliance took a largely pragmatic approach considering the availability of data and historic South Sound priorities as represented by current and proposed future work. We also considered:</w:t>
      </w:r>
    </w:p>
    <w:p w14:paraId="176D46A1" w14:textId="77777777" w:rsidR="00B90508" w:rsidRPr="00B90508" w:rsidRDefault="00B90508" w:rsidP="00B90508">
      <w:pPr>
        <w:numPr>
          <w:ilvl w:val="0"/>
          <w:numId w:val="29"/>
        </w:numPr>
        <w:spacing w:line="276" w:lineRule="auto"/>
        <w:contextualSpacing/>
        <w:rPr>
          <w:rFonts w:eastAsiaTheme="minorEastAsia"/>
        </w:rPr>
      </w:pPr>
      <w:r w:rsidRPr="00B90508">
        <w:rPr>
          <w:rFonts w:eastAsiaTheme="minorEastAsia"/>
        </w:rPr>
        <w:t>Availability of attribute data for the entire South Sound and the existence of an established, ongoing data collection program</w:t>
      </w:r>
    </w:p>
    <w:p w14:paraId="563B47F5" w14:textId="77777777" w:rsidR="00B90508" w:rsidRPr="00B90508" w:rsidRDefault="00B90508" w:rsidP="00B90508">
      <w:pPr>
        <w:numPr>
          <w:ilvl w:val="0"/>
          <w:numId w:val="29"/>
        </w:numPr>
        <w:spacing w:line="276" w:lineRule="auto"/>
        <w:contextualSpacing/>
        <w:rPr>
          <w:rFonts w:eastAsiaTheme="minorEastAsia"/>
        </w:rPr>
      </w:pPr>
      <w:bookmarkStart w:id="194" w:name="_y9a2wchsni5o" w:colFirst="0" w:colLast="0"/>
      <w:bookmarkEnd w:id="194"/>
      <w:r w:rsidRPr="00B90508">
        <w:rPr>
          <w:rFonts w:eastAsiaTheme="minorEastAsia"/>
        </w:rPr>
        <w:t>Relevancy of data collection program to Alliance objectives (i.e., focus on natural and habitat-forming ecosystem processes)</w:t>
      </w:r>
    </w:p>
    <w:p w14:paraId="3B44680F" w14:textId="77777777" w:rsidR="00B90508" w:rsidRPr="00B90508" w:rsidRDefault="00B90508" w:rsidP="00B90508">
      <w:pPr>
        <w:numPr>
          <w:ilvl w:val="0"/>
          <w:numId w:val="29"/>
        </w:numPr>
        <w:spacing w:line="276" w:lineRule="auto"/>
        <w:contextualSpacing/>
        <w:rPr>
          <w:rFonts w:eastAsiaTheme="minorEastAsia"/>
        </w:rPr>
      </w:pPr>
      <w:bookmarkStart w:id="195" w:name="_ewsfcheazhtv" w:colFirst="0" w:colLast="0"/>
      <w:bookmarkEnd w:id="195"/>
      <w:r w:rsidRPr="00B90508">
        <w:rPr>
          <w:rFonts w:eastAsiaTheme="minorEastAsia"/>
        </w:rPr>
        <w:t>Understanding of attribute and how to affect its condition through South Sound protection, prevention, restoration, and direct management actions</w:t>
      </w:r>
    </w:p>
    <w:p w14:paraId="4A58CA0F" w14:textId="77777777" w:rsidR="00B90508" w:rsidRPr="00B90508" w:rsidRDefault="00B90508" w:rsidP="00B90508">
      <w:pPr>
        <w:numPr>
          <w:ilvl w:val="0"/>
          <w:numId w:val="29"/>
        </w:numPr>
        <w:spacing w:line="276" w:lineRule="auto"/>
        <w:contextualSpacing/>
        <w:rPr>
          <w:rFonts w:eastAsiaTheme="minorEastAsia"/>
        </w:rPr>
      </w:pPr>
      <w:bookmarkStart w:id="196" w:name="_c25cz77ktf7o" w:colFirst="0" w:colLast="0"/>
      <w:bookmarkEnd w:id="196"/>
      <w:r w:rsidRPr="00B90508">
        <w:rPr>
          <w:rFonts w:eastAsiaTheme="minorEastAsia"/>
        </w:rPr>
        <w:t>Availability of finer scale data that is more appropriate or useful</w:t>
      </w:r>
    </w:p>
    <w:p w14:paraId="4B4C8DA5" w14:textId="77777777" w:rsidR="00B90508" w:rsidRPr="00B90508" w:rsidRDefault="00B90508" w:rsidP="00B90508">
      <w:pPr>
        <w:numPr>
          <w:ilvl w:val="0"/>
          <w:numId w:val="29"/>
        </w:numPr>
        <w:spacing w:line="276" w:lineRule="auto"/>
        <w:contextualSpacing/>
        <w:rPr>
          <w:rFonts w:eastAsiaTheme="minorEastAsia"/>
        </w:rPr>
      </w:pPr>
      <w:bookmarkStart w:id="197" w:name="_dpmzqrxxe7s7" w:colFirst="0" w:colLast="0"/>
      <w:bookmarkEnd w:id="197"/>
      <w:r w:rsidRPr="00B90508">
        <w:rPr>
          <w:rFonts w:eastAsiaTheme="minorEastAsia"/>
        </w:rPr>
        <w:t>Whether an attribute could also demonstrate ecosystem benefits to humans</w:t>
      </w:r>
    </w:p>
    <w:p w14:paraId="52E2D7DE" w14:textId="77777777" w:rsidR="00B90508" w:rsidRPr="00B90508" w:rsidRDefault="00B90508" w:rsidP="00DB2B36">
      <w:pPr>
        <w:numPr>
          <w:ilvl w:val="0"/>
          <w:numId w:val="29"/>
        </w:numPr>
        <w:spacing w:line="276" w:lineRule="auto"/>
        <w:rPr>
          <w:rFonts w:eastAsiaTheme="minorEastAsia"/>
        </w:rPr>
      </w:pPr>
      <w:bookmarkStart w:id="198" w:name="_qzo5ew4cgoj5" w:colFirst="0" w:colLast="0"/>
      <w:bookmarkEnd w:id="198"/>
      <w:r w:rsidRPr="00B90508">
        <w:rPr>
          <w:rFonts w:eastAsiaTheme="minorEastAsia"/>
        </w:rPr>
        <w:t>How easily an attribute could be aligned with PSP Puget Sound scale vital sign targets</w:t>
      </w:r>
    </w:p>
    <w:p w14:paraId="63805330" w14:textId="77777777" w:rsidR="00B90508" w:rsidRPr="00B90508" w:rsidRDefault="00B90508" w:rsidP="00B90508">
      <w:pPr>
        <w:spacing w:line="276" w:lineRule="auto"/>
        <w:rPr>
          <w:rFonts w:eastAsiaTheme="minorEastAsia"/>
        </w:rPr>
      </w:pPr>
      <w:bookmarkStart w:id="199" w:name="_al3ys8827x2q" w:colFirst="0" w:colLast="0"/>
      <w:bookmarkStart w:id="200" w:name="_iv8152n5szw8" w:colFirst="0" w:colLast="0"/>
      <w:bookmarkEnd w:id="199"/>
      <w:bookmarkEnd w:id="200"/>
      <w:r w:rsidRPr="00B90508">
        <w:rPr>
          <w:rFonts w:eastAsiaTheme="minorEastAsia"/>
        </w:rPr>
        <w:t>Attributes that were not suitable for target setting included those for which there is no established data collection program for the entire South Sound, those for which we do not believe there is adequate data or information to confidently connect actions to outcomes, and those that are covered by other attributes selected for target setting. In addition, for attributes where finer scale data are available (e.g., water quality and salmonid presence), we determined it was not useful or appropriate to set a target based on the coarse-scale data available for the entire South Sound and that instead we should rely, to the extent they exist, on finer scale locally derived targets developed by tribal governments, counties, cities, and as part of the South Sound salmon recovery work.</w:t>
      </w:r>
    </w:p>
    <w:p w14:paraId="4D0435B9" w14:textId="77777777" w:rsidR="00B90508" w:rsidRPr="00B90508" w:rsidRDefault="00B90508" w:rsidP="00B90508">
      <w:pPr>
        <w:spacing w:line="276" w:lineRule="auto"/>
        <w:rPr>
          <w:rFonts w:eastAsiaTheme="minorEastAsia"/>
        </w:rPr>
      </w:pPr>
      <w:bookmarkStart w:id="201" w:name="_hq00wkb8iyay" w:colFirst="0" w:colLast="0"/>
      <w:bookmarkStart w:id="202" w:name="_eqb2fd2t4oig" w:colFirst="0" w:colLast="0"/>
      <w:bookmarkEnd w:id="201"/>
      <w:bookmarkEnd w:id="202"/>
      <w:r w:rsidRPr="00B90508">
        <w:rPr>
          <w:rFonts w:eastAsiaTheme="minorEastAsia"/>
        </w:rPr>
        <w:t>Of the 18 attributes the Alliance identified, it is setting new numeric targets for eight:</w:t>
      </w:r>
    </w:p>
    <w:p w14:paraId="358DD984" w14:textId="77777777" w:rsidR="00B90508" w:rsidRPr="00B90508" w:rsidRDefault="00B90508" w:rsidP="00B90508">
      <w:pPr>
        <w:numPr>
          <w:ilvl w:val="0"/>
          <w:numId w:val="30"/>
        </w:numPr>
        <w:spacing w:line="276" w:lineRule="auto"/>
        <w:contextualSpacing/>
        <w:rPr>
          <w:rFonts w:eastAsiaTheme="minorEastAsia"/>
        </w:rPr>
      </w:pPr>
      <w:bookmarkStart w:id="203" w:name="_3z6gwai3q8rb" w:colFirst="0" w:colLast="0"/>
      <w:bookmarkEnd w:id="203"/>
      <w:r w:rsidRPr="00B90508">
        <w:rPr>
          <w:rFonts w:eastAsiaTheme="minorEastAsia"/>
        </w:rPr>
        <w:t xml:space="preserve">Forest cover </w:t>
      </w:r>
    </w:p>
    <w:p w14:paraId="1DDE7898" w14:textId="77777777" w:rsidR="00B90508" w:rsidRPr="00B90508" w:rsidRDefault="00B90508" w:rsidP="00B90508">
      <w:pPr>
        <w:numPr>
          <w:ilvl w:val="0"/>
          <w:numId w:val="30"/>
        </w:numPr>
        <w:spacing w:line="276" w:lineRule="auto"/>
        <w:contextualSpacing/>
        <w:rPr>
          <w:rFonts w:eastAsiaTheme="minorEastAsia"/>
        </w:rPr>
      </w:pPr>
      <w:bookmarkStart w:id="204" w:name="_7cyhq8gmx4ru" w:colFirst="0" w:colLast="0"/>
      <w:bookmarkEnd w:id="204"/>
      <w:r w:rsidRPr="00B90508">
        <w:rPr>
          <w:rFonts w:eastAsiaTheme="minorEastAsia"/>
        </w:rPr>
        <w:t>Freshwater riparian habitat</w:t>
      </w:r>
    </w:p>
    <w:p w14:paraId="7AC51850" w14:textId="77777777" w:rsidR="00B90508" w:rsidRPr="00B90508" w:rsidRDefault="00B90508" w:rsidP="00B90508">
      <w:pPr>
        <w:numPr>
          <w:ilvl w:val="0"/>
          <w:numId w:val="30"/>
        </w:numPr>
        <w:spacing w:line="276" w:lineRule="auto"/>
        <w:contextualSpacing/>
        <w:rPr>
          <w:rFonts w:eastAsiaTheme="minorEastAsia"/>
        </w:rPr>
      </w:pPr>
      <w:bookmarkStart w:id="205" w:name="_477p77rnwa4" w:colFirst="0" w:colLast="0"/>
      <w:bookmarkEnd w:id="205"/>
      <w:r w:rsidRPr="00B90508">
        <w:rPr>
          <w:rFonts w:eastAsiaTheme="minorEastAsia"/>
        </w:rPr>
        <w:t xml:space="preserve">Fish passage barriers </w:t>
      </w:r>
    </w:p>
    <w:p w14:paraId="76429EA2" w14:textId="77777777" w:rsidR="00B90508" w:rsidRPr="00B90508" w:rsidRDefault="00B90508" w:rsidP="00B90508">
      <w:pPr>
        <w:numPr>
          <w:ilvl w:val="0"/>
          <w:numId w:val="30"/>
        </w:numPr>
        <w:spacing w:line="276" w:lineRule="auto"/>
        <w:contextualSpacing/>
        <w:rPr>
          <w:rFonts w:eastAsiaTheme="minorEastAsia"/>
        </w:rPr>
      </w:pPr>
      <w:r w:rsidRPr="00B90508">
        <w:rPr>
          <w:rFonts w:eastAsiaTheme="minorEastAsia"/>
        </w:rPr>
        <w:t>Marine riparian habitat</w:t>
      </w:r>
    </w:p>
    <w:p w14:paraId="74CCAA81" w14:textId="77777777" w:rsidR="00B90508" w:rsidRPr="00B90508" w:rsidRDefault="00B90508" w:rsidP="00B90508">
      <w:pPr>
        <w:numPr>
          <w:ilvl w:val="0"/>
          <w:numId w:val="30"/>
        </w:numPr>
        <w:spacing w:line="276" w:lineRule="auto"/>
        <w:contextualSpacing/>
        <w:rPr>
          <w:rFonts w:eastAsiaTheme="minorEastAsia"/>
        </w:rPr>
      </w:pPr>
      <w:bookmarkStart w:id="206" w:name="_pnpq0uj2ffyq" w:colFirst="0" w:colLast="0"/>
      <w:bookmarkEnd w:id="206"/>
      <w:r w:rsidRPr="00B90508">
        <w:rPr>
          <w:rFonts w:eastAsiaTheme="minorEastAsia"/>
        </w:rPr>
        <w:t>Intact large estuaries</w:t>
      </w:r>
    </w:p>
    <w:p w14:paraId="6AB6083A" w14:textId="77777777" w:rsidR="00B90508" w:rsidRPr="00B90508" w:rsidRDefault="00B90508" w:rsidP="00B90508">
      <w:pPr>
        <w:numPr>
          <w:ilvl w:val="0"/>
          <w:numId w:val="30"/>
        </w:numPr>
        <w:spacing w:line="276" w:lineRule="auto"/>
        <w:contextualSpacing/>
        <w:rPr>
          <w:rFonts w:eastAsiaTheme="minorEastAsia"/>
        </w:rPr>
      </w:pPr>
      <w:r w:rsidRPr="00B90508">
        <w:rPr>
          <w:rFonts w:eastAsiaTheme="minorEastAsia"/>
        </w:rPr>
        <w:t>Intact small estuaries</w:t>
      </w:r>
    </w:p>
    <w:p w14:paraId="64669287" w14:textId="77777777" w:rsidR="00B90508" w:rsidRPr="00B90508" w:rsidRDefault="00B90508" w:rsidP="00B90508">
      <w:pPr>
        <w:numPr>
          <w:ilvl w:val="0"/>
          <w:numId w:val="30"/>
        </w:numPr>
        <w:spacing w:line="276" w:lineRule="auto"/>
        <w:contextualSpacing/>
        <w:rPr>
          <w:rFonts w:eastAsiaTheme="minorEastAsia"/>
        </w:rPr>
      </w:pPr>
      <w:bookmarkStart w:id="207" w:name="_e4lrkrmz5wl4" w:colFirst="0" w:colLast="0"/>
      <w:bookmarkStart w:id="208" w:name="_24uo524ssog" w:colFirst="0" w:colLast="0"/>
      <w:bookmarkEnd w:id="207"/>
      <w:bookmarkEnd w:id="208"/>
      <w:r w:rsidRPr="00B90508">
        <w:rPr>
          <w:rFonts w:eastAsiaTheme="minorEastAsia"/>
        </w:rPr>
        <w:t>Intact feeder bluffs (sediment supply)</w:t>
      </w:r>
    </w:p>
    <w:p w14:paraId="4E102FBE" w14:textId="77777777" w:rsidR="00B90508" w:rsidRPr="00B90508" w:rsidRDefault="00B90508" w:rsidP="00DB2B36">
      <w:pPr>
        <w:numPr>
          <w:ilvl w:val="0"/>
          <w:numId w:val="30"/>
        </w:numPr>
        <w:spacing w:line="276" w:lineRule="auto"/>
        <w:rPr>
          <w:rFonts w:eastAsiaTheme="minorEastAsia"/>
        </w:rPr>
      </w:pPr>
      <w:bookmarkStart w:id="209" w:name="_pe85oq9pgt1c" w:colFirst="0" w:colLast="0"/>
      <w:bookmarkEnd w:id="209"/>
      <w:r w:rsidRPr="00B90508">
        <w:rPr>
          <w:rFonts w:eastAsiaTheme="minorEastAsia"/>
        </w:rPr>
        <w:t>Unarmored shorelines</w:t>
      </w:r>
      <w:bookmarkStart w:id="210" w:name="_3xrkzhukhqj" w:colFirst="0" w:colLast="0"/>
      <w:bookmarkEnd w:id="210"/>
    </w:p>
    <w:p w14:paraId="5E0458AC" w14:textId="77777777" w:rsidR="00B90508" w:rsidRPr="00B90508" w:rsidRDefault="00B90508" w:rsidP="00B90508">
      <w:pPr>
        <w:spacing w:line="276" w:lineRule="auto"/>
        <w:rPr>
          <w:rFonts w:eastAsiaTheme="minorEastAsia"/>
        </w:rPr>
      </w:pPr>
      <w:bookmarkStart w:id="211" w:name="_d0pj40q7ivam" w:colFirst="0" w:colLast="0"/>
      <w:bookmarkStart w:id="212" w:name="_v30h3dc6h2j0" w:colFirst="0" w:colLast="0"/>
      <w:bookmarkEnd w:id="211"/>
      <w:bookmarkEnd w:id="212"/>
      <w:r w:rsidRPr="00B90508">
        <w:rPr>
          <w:rFonts w:eastAsiaTheme="minorEastAsia"/>
        </w:rPr>
        <w:t>We are adopting existing locally-derived numeric targets for three additional attributes:</w:t>
      </w:r>
    </w:p>
    <w:p w14:paraId="67CAB7B7" w14:textId="77777777" w:rsidR="00B90508" w:rsidRPr="00B90508" w:rsidRDefault="00B90508" w:rsidP="00B90508">
      <w:pPr>
        <w:numPr>
          <w:ilvl w:val="0"/>
          <w:numId w:val="31"/>
        </w:numPr>
        <w:spacing w:line="276" w:lineRule="auto"/>
        <w:contextualSpacing/>
        <w:rPr>
          <w:rFonts w:eastAsiaTheme="minorEastAsia"/>
        </w:rPr>
      </w:pPr>
      <w:bookmarkStart w:id="213" w:name="_s8in1x20jwkj" w:colFirst="0" w:colLast="0"/>
      <w:bookmarkEnd w:id="213"/>
      <w:r w:rsidRPr="00B90508">
        <w:rPr>
          <w:rFonts w:eastAsiaTheme="minorEastAsia"/>
        </w:rPr>
        <w:t>Summer low flows in rivers &amp; small streams</w:t>
      </w:r>
    </w:p>
    <w:p w14:paraId="66F6E3A2" w14:textId="77777777" w:rsidR="00B90508" w:rsidRPr="00B90508" w:rsidRDefault="00B90508" w:rsidP="00B90508">
      <w:pPr>
        <w:numPr>
          <w:ilvl w:val="0"/>
          <w:numId w:val="31"/>
        </w:numPr>
        <w:spacing w:line="276" w:lineRule="auto"/>
        <w:contextualSpacing/>
        <w:rPr>
          <w:rFonts w:eastAsiaTheme="minorEastAsia"/>
        </w:rPr>
      </w:pPr>
      <w:bookmarkStart w:id="214" w:name="_ti43bzockbp7" w:colFirst="0" w:colLast="0"/>
      <w:bookmarkEnd w:id="214"/>
      <w:r w:rsidRPr="00B90508">
        <w:rPr>
          <w:rFonts w:eastAsiaTheme="minorEastAsia"/>
        </w:rPr>
        <w:t>Salmon abundance and distribution</w:t>
      </w:r>
    </w:p>
    <w:p w14:paraId="2887BD3B" w14:textId="77777777" w:rsidR="00B90508" w:rsidRPr="00B90508" w:rsidRDefault="00B90508" w:rsidP="00DB2B36">
      <w:pPr>
        <w:numPr>
          <w:ilvl w:val="0"/>
          <w:numId w:val="30"/>
        </w:numPr>
        <w:spacing w:line="276" w:lineRule="auto"/>
        <w:rPr>
          <w:rFonts w:eastAsiaTheme="minorEastAsia"/>
        </w:rPr>
      </w:pPr>
      <w:bookmarkStart w:id="215" w:name="_czxlbidu3ajp" w:colFirst="0" w:colLast="0"/>
      <w:bookmarkEnd w:id="215"/>
      <w:r w:rsidRPr="00B90508">
        <w:rPr>
          <w:rFonts w:eastAsiaTheme="minorEastAsia"/>
        </w:rPr>
        <w:t>Harvestable shellfish</w:t>
      </w:r>
    </w:p>
    <w:p w14:paraId="7A73522D" w14:textId="77777777" w:rsidR="00B90508" w:rsidRPr="00B90508" w:rsidRDefault="00B90508" w:rsidP="00B90508">
      <w:pPr>
        <w:spacing w:line="276" w:lineRule="auto"/>
        <w:rPr>
          <w:rFonts w:eastAsiaTheme="minorEastAsia"/>
        </w:rPr>
      </w:pPr>
      <w:bookmarkStart w:id="216" w:name="_b81awx6nwzpt" w:colFirst="0" w:colLast="0"/>
      <w:bookmarkStart w:id="217" w:name="_di304jypt2c" w:colFirst="0" w:colLast="0"/>
      <w:bookmarkEnd w:id="216"/>
      <w:bookmarkEnd w:id="217"/>
      <w:r w:rsidRPr="00B90508">
        <w:rPr>
          <w:rFonts w:eastAsiaTheme="minorEastAsia"/>
        </w:rPr>
        <w:lastRenderedPageBreak/>
        <w:t>For the remaining seven attributes we are not adopting specific numeric targets at this time but may in the future.</w:t>
      </w:r>
    </w:p>
    <w:p w14:paraId="35248F12" w14:textId="77777777" w:rsidR="00B90508" w:rsidRPr="00B90508" w:rsidRDefault="00B90508" w:rsidP="00B90508">
      <w:pPr>
        <w:spacing w:line="276" w:lineRule="auto"/>
        <w:rPr>
          <w:rFonts w:eastAsiaTheme="minorEastAsia"/>
        </w:rPr>
      </w:pPr>
      <w:bookmarkStart w:id="218" w:name="_wonedjkis4va" w:colFirst="0" w:colLast="0"/>
      <w:bookmarkStart w:id="219" w:name="_gvdzt35nh2ua" w:colFirst="0" w:colLast="0"/>
      <w:bookmarkEnd w:id="218"/>
      <w:bookmarkEnd w:id="219"/>
      <w:r w:rsidRPr="00B90508">
        <w:rPr>
          <w:rFonts w:eastAsiaTheme="minorEastAsia"/>
        </w:rPr>
        <w:t xml:space="preserve">The Alliance’s approach to setting targets was to identify numerical values which could measure our progress in protecting and restoring the subject attributes. Generally each target has a protection component, which focuses on completing restoration sufficient to recover the attribute in priority areas. This focus on locating restoration in the best (most intact) areas is based on experience that many of the restoration projects funded through recovery work, particularly those focused on marine nearshore and freshwater habitats, are relatively small-scale. These small-scale projects are more likely to provide sustainable ecosystem lift if they are placed in areas that are already relatively intact. To determine where to focus protection and restoration efforts we relied on two locally derived watershed-level characterizations. The South Sound Coastal Catchment Assessment, and the Juvenile Salmon Nearshore Project Selection Tool Beneficial Model. Both evaluations cover the entire South Sound nearshore. </w:t>
      </w:r>
    </w:p>
    <w:p w14:paraId="56916FCB" w14:textId="77777777" w:rsidR="00B90508" w:rsidRPr="00B90508" w:rsidRDefault="00B90508" w:rsidP="00B90508">
      <w:pPr>
        <w:spacing w:line="276" w:lineRule="auto"/>
        <w:rPr>
          <w:rFonts w:eastAsiaTheme="minorEastAsia"/>
        </w:rPr>
      </w:pPr>
      <w:r w:rsidRPr="00B90508">
        <w:rPr>
          <w:rFonts w:eastAsiaTheme="minorEastAsia"/>
        </w:rPr>
        <w:t xml:space="preserve">The Coastal Catchment Nearshore Assessment for South Puget Sound uses locally derived data as well as information from the Puget Sound Nearshore Ecosystem Restoration Project (PSNERP) and the Northwest Indian Fisheries Commission (NWIFC) to provide a strategic restoration and conservation framework for the nearshore. Shoreline catchments and their neighboring upland catchments are evaluated for the condition of key ecological functions and habitats. Based on the evaluation, geographic priorities for protection/conservation and restoration/enhancement are identified. These areas constitute approximately 37% of the South Sound shoreline, or 148.7 miles, and are where restoration and protection projects are most likely to be successful over time. </w:t>
      </w:r>
    </w:p>
    <w:p w14:paraId="247A98D0" w14:textId="77777777" w:rsidR="00B90508" w:rsidRPr="00B90508" w:rsidRDefault="00B90508" w:rsidP="00B90508">
      <w:pPr>
        <w:spacing w:line="276" w:lineRule="auto"/>
        <w:rPr>
          <w:rFonts w:eastAsiaTheme="minorEastAsia"/>
        </w:rPr>
      </w:pPr>
      <w:r w:rsidRPr="00B90508">
        <w:rPr>
          <w:rFonts w:eastAsiaTheme="minorEastAsia"/>
        </w:rPr>
        <w:t xml:space="preserve">The Coastal Catchment Nearshore Assessment was supplemented by application of the Juvenile Salmon Nearshore Project Selection Tool Beneficial model (commonly Nearshore Project Selection Tool). The Nearshore Project Selection Tool identifies priority salmon habitats in the South Sound (i.e., pocket estuaries, salmonid bearing freshwater tributaries, eelgrass beds, and emergent marsh), evaluates the presence of attributes that would improve the quality of the habitat for salmon, e.g., saltmarsh, proximity to fresh water inputs), and produces a spatial representation of areas of the South Sound nearshore where protection and restoration projects would most benefit juvenile salmon. Area identified by the Nearshore Project Selection tool comprises approximately 42 percent of South Sound shoreline, or 169.2 miles, and brings in important areas for salmon (e.g., the Nisqually Reach; lower Budd Inlet) that are not part of the Coastal Catchment Nearshore Assessment. Like the Coastal Catchment Assessment, use of this analysis results in both a numeric value for targets and a set of geographies where work will be most fruitful. Where Nearshore Project Selection Tool habitats do not intersect with Coastal Catchment priorities larger or more grouped projects are recommended. Used together the Coastal Catchment Assessment and the Nearshore Project Selection tool identify 64 percent of South Sound shoreline as a priority for restoration, or 255.3 miles. 15 percent, or 62.7 miles, are identified as a priority in both assessments. </w:t>
      </w:r>
    </w:p>
    <w:p w14:paraId="0E4523C8" w14:textId="77777777" w:rsidR="00B90508" w:rsidRPr="00B90508" w:rsidRDefault="00B90508" w:rsidP="00B90508">
      <w:pPr>
        <w:spacing w:line="276" w:lineRule="auto"/>
        <w:rPr>
          <w:rFonts w:eastAsiaTheme="minorEastAsia"/>
        </w:rPr>
      </w:pPr>
      <w:r w:rsidRPr="00B90508">
        <w:rPr>
          <w:rFonts w:eastAsiaTheme="minorEastAsia"/>
        </w:rPr>
        <w:t xml:space="preserve">Where local watershed-scale assessments were not available at the South Sound scale, we used available Puget Sound scale characterizations or other studies. </w:t>
      </w:r>
    </w:p>
    <w:p w14:paraId="0D7A5653" w14:textId="77777777" w:rsidR="00B90508" w:rsidRPr="00B90508" w:rsidRDefault="00B90508" w:rsidP="00B90508">
      <w:pPr>
        <w:spacing w:line="276" w:lineRule="auto"/>
        <w:rPr>
          <w:rFonts w:eastAsiaTheme="minorEastAsia"/>
        </w:rPr>
      </w:pPr>
      <w:bookmarkStart w:id="220" w:name="_h8m91l2m1l0j" w:colFirst="0" w:colLast="0"/>
      <w:bookmarkStart w:id="221" w:name="_apj7ry52t47k" w:colFirst="0" w:colLast="0"/>
      <w:bookmarkEnd w:id="220"/>
      <w:bookmarkEnd w:id="221"/>
      <w:r w:rsidRPr="00B90508">
        <w:rPr>
          <w:rFonts w:eastAsiaTheme="minorEastAsia"/>
        </w:rPr>
        <w:lastRenderedPageBreak/>
        <w:t>Targets were set by overlaying information on attributes (e.g., marine riparian vegetation) with the geographic areas identified as a priority by the Coastal Catchment Assessment and/or the Nearshore Project Selection Tool. The resulting targets both provide a numeric goal for restoration and direct project sponsors to the geographies that will be most fruitful for restoration work. For areas that use this method, only actions which take place in the high-priority geographies will count towards the target. In general, the priority Coastal Catchment Assessment areas are appropriate for smaller-scale protection and restoration projects as well as larger or clustered projects, and the priority Nearshore Project Selection Tool areas are more appropriate for larger or clustered projects that directly benefit juvenile salmon. Targets were set at an inlet/island group scale and aggregated to the South Sound scale</w:t>
      </w:r>
      <w:bookmarkStart w:id="222" w:name="_uuhp7mulq9bo" w:colFirst="0" w:colLast="0"/>
      <w:bookmarkStart w:id="223" w:name="_u2ctvzko36ow" w:colFirst="0" w:colLast="0"/>
      <w:bookmarkStart w:id="224" w:name="_icpbrl7lpb17" w:colFirst="0" w:colLast="0"/>
      <w:bookmarkEnd w:id="222"/>
      <w:bookmarkEnd w:id="223"/>
      <w:bookmarkEnd w:id="224"/>
      <w:r w:rsidRPr="00B90508">
        <w:rPr>
          <w:rFonts w:eastAsiaTheme="minorEastAsia"/>
        </w:rPr>
        <w:t>.</w:t>
      </w:r>
    </w:p>
    <w:p w14:paraId="294E5724" w14:textId="77777777" w:rsidR="00B90508" w:rsidRPr="00B90508" w:rsidRDefault="00B90508" w:rsidP="00B90508">
      <w:pPr>
        <w:spacing w:line="276" w:lineRule="auto"/>
        <w:rPr>
          <w:rFonts w:eastAsiaTheme="minorEastAsia"/>
        </w:rPr>
      </w:pPr>
      <w:r w:rsidRPr="00B90508">
        <w:rPr>
          <w:rFonts w:eastAsiaTheme="minorEastAsia"/>
        </w:rPr>
        <w:t>The South Sound targets are scientifically rigorous and purposefully aggressive in terms of the total area addressed, and we fully expect that progress toward the targets will be incremental. We took this approach to emphasize the scope and breadth of restoration work that is necessary in the South Sound and to reach towards the question often asked in these sorts of planning efforts: how much is enough? While that question cannot be answered with certainty, we believe that if we protect remaining intact attributes, and we restore all attributes in all priority areas, we will have gone a long way toward restoring ecological processes and functions. We chose to present a version of the complete picture, based on locally derived watershed scale assessments of where work makes the most sense, rather than establish more incremental targets based on an assessment of what might be possible in any given timeframe. The determination of incremental targets is subject to funding opportunities, willing landowners and other vagaries. Subsequent work can identify how much progress toward each of the targets is realistic over the next three, five, ten years, and, as needed, adaptive management provides an opportunity to refine targets over time.</w:t>
      </w:r>
    </w:p>
    <w:p w14:paraId="3D71C144" w14:textId="77777777" w:rsidR="00B90508" w:rsidRPr="00B90508" w:rsidRDefault="00B90508" w:rsidP="00B90508">
      <w:pPr>
        <w:spacing w:line="276" w:lineRule="auto"/>
        <w:rPr>
          <w:rFonts w:eastAsiaTheme="minorEastAsia"/>
        </w:rPr>
      </w:pPr>
      <w:r w:rsidRPr="00B90508">
        <w:rPr>
          <w:rFonts w:eastAsiaTheme="minorEastAsia"/>
        </w:rPr>
        <w:t>Table [] lists attributes and targets and summarizes the methodology and data used for each. Individual attributes and targets are discussed in more detail in the sections of the plan which address related ecosystem focus areas, strategies, and actions.</w:t>
      </w:r>
      <w:bookmarkStart w:id="225" w:name="_td1crgpm6l4t" w:colFirst="0" w:colLast="0"/>
      <w:bookmarkStart w:id="226" w:name="_3lqr3r5xlmxj" w:colFirst="0" w:colLast="0"/>
      <w:bookmarkStart w:id="227" w:name="_cmoyen5blq4n" w:colFirst="0" w:colLast="0"/>
      <w:bookmarkStart w:id="228" w:name="_gzlzqbveizni" w:colFirst="0" w:colLast="0"/>
      <w:bookmarkEnd w:id="225"/>
      <w:bookmarkEnd w:id="226"/>
      <w:bookmarkEnd w:id="227"/>
      <w:bookmarkEnd w:id="228"/>
    </w:p>
    <w:p w14:paraId="50102897" w14:textId="77777777" w:rsidR="00B90508" w:rsidRPr="00B90508" w:rsidRDefault="00B90508" w:rsidP="00B90508">
      <w:pPr>
        <w:keepNext/>
        <w:spacing w:before="100" w:after="100" w:line="276" w:lineRule="auto"/>
        <w:jc w:val="center"/>
        <w:rPr>
          <w:rFonts w:ascii="Calibri" w:eastAsia="Calibri" w:hAnsi="Calibri" w:cs="Calibri"/>
          <w:b/>
          <w:sz w:val="18"/>
        </w:rPr>
        <w:sectPr w:rsidR="00B90508" w:rsidRPr="00B90508" w:rsidSect="00B90508">
          <w:pgSz w:w="12240" w:h="15840"/>
          <w:pgMar w:top="1440" w:right="1440" w:bottom="1440" w:left="1440" w:header="720" w:footer="720" w:gutter="0"/>
          <w:cols w:space="720"/>
        </w:sectPr>
      </w:pPr>
    </w:p>
    <w:p w14:paraId="16F20F5C"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lastRenderedPageBreak/>
        <w:t>Table []</w:t>
      </w:r>
    </w:p>
    <w:tbl>
      <w:tblPr>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4A0" w:firstRow="1" w:lastRow="0" w:firstColumn="1" w:lastColumn="0" w:noHBand="0" w:noVBand="1"/>
      </w:tblPr>
      <w:tblGrid>
        <w:gridCol w:w="1345"/>
        <w:gridCol w:w="4050"/>
        <w:gridCol w:w="1620"/>
        <w:gridCol w:w="5935"/>
      </w:tblGrid>
      <w:tr w:rsidR="00B90508" w:rsidRPr="00B90508" w14:paraId="27E156FC" w14:textId="77777777" w:rsidTr="00B90508">
        <w:trPr>
          <w:cantSplit/>
          <w:tblHeader/>
        </w:trPr>
        <w:tc>
          <w:tcPr>
            <w:tcW w:w="1345" w:type="dxa"/>
            <w:shd w:val="clear" w:color="000000" w:fill="D9D9D9"/>
            <w:vAlign w:val="center"/>
            <w:hideMark/>
          </w:tcPr>
          <w:p w14:paraId="5F44027A"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Attribute</w:t>
            </w:r>
          </w:p>
        </w:tc>
        <w:tc>
          <w:tcPr>
            <w:tcW w:w="4050" w:type="dxa"/>
            <w:shd w:val="clear" w:color="000000" w:fill="D9D9D9"/>
            <w:vAlign w:val="center"/>
            <w:hideMark/>
          </w:tcPr>
          <w:p w14:paraId="4F1FFC27"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Data Source(s)</w:t>
            </w:r>
          </w:p>
        </w:tc>
        <w:tc>
          <w:tcPr>
            <w:tcW w:w="1620" w:type="dxa"/>
            <w:shd w:val="clear" w:color="000000" w:fill="D9D9D9"/>
            <w:vAlign w:val="center"/>
            <w:hideMark/>
          </w:tcPr>
          <w:p w14:paraId="19194B59"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Date - Period</w:t>
            </w:r>
          </w:p>
        </w:tc>
        <w:tc>
          <w:tcPr>
            <w:tcW w:w="5935" w:type="dxa"/>
            <w:shd w:val="clear" w:color="000000" w:fill="D9D9D9"/>
            <w:vAlign w:val="center"/>
            <w:hideMark/>
          </w:tcPr>
          <w:p w14:paraId="7A6C4D60"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Target</w:t>
            </w:r>
          </w:p>
        </w:tc>
      </w:tr>
      <w:tr w:rsidR="00B90508" w:rsidRPr="00B90508" w14:paraId="3DABF540" w14:textId="77777777" w:rsidTr="00B90508">
        <w:trPr>
          <w:cantSplit/>
        </w:trPr>
        <w:tc>
          <w:tcPr>
            <w:tcW w:w="1345" w:type="dxa"/>
            <w:shd w:val="clear" w:color="auto" w:fill="auto"/>
            <w:hideMark/>
          </w:tcPr>
          <w:p w14:paraId="0AD2C5CF"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Marine riparian habitat </w:t>
            </w:r>
          </w:p>
        </w:tc>
        <w:tc>
          <w:tcPr>
            <w:tcW w:w="4050" w:type="dxa"/>
            <w:shd w:val="clear" w:color="auto" w:fill="auto"/>
            <w:hideMark/>
          </w:tcPr>
          <w:p w14:paraId="52FB5BE2"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NOAA Coastal Change Analysis Program (CCAP) 2011 </w:t>
            </w:r>
            <w:r w:rsidRPr="00B90508">
              <w:rPr>
                <w:rFonts w:eastAsiaTheme="minorEastAsia"/>
                <w:sz w:val="18"/>
                <w:szCs w:val="18"/>
              </w:rPr>
              <w:br/>
            </w:r>
            <w:hyperlink r:id="rId59" w:history="1">
              <w:r w:rsidRPr="00B90508">
                <w:rPr>
                  <w:rFonts w:eastAsiaTheme="minorEastAsia"/>
                  <w:color w:val="2B5A8E"/>
                  <w:sz w:val="18"/>
                  <w:szCs w:val="18"/>
                  <w:u w:val="single"/>
                </w:rPr>
                <w:t>https://coast.noaa.gov/dataregistry/search/dataset/29B19ED9-7564-4820-9947-937A40793204</w:t>
              </w:r>
            </w:hyperlink>
            <w:r w:rsidRPr="00B90508">
              <w:rPr>
                <w:rFonts w:eastAsiaTheme="minorEastAsia"/>
                <w:sz w:val="18"/>
                <w:szCs w:val="18"/>
              </w:rPr>
              <w:t xml:space="preserve">  </w:t>
            </w:r>
            <w:r w:rsidRPr="00B90508">
              <w:rPr>
                <w:rFonts w:eastAsiaTheme="minorEastAsia"/>
                <w:sz w:val="18"/>
                <w:szCs w:val="18"/>
              </w:rPr>
              <w:br/>
            </w:r>
            <w:r w:rsidRPr="00B90508">
              <w:rPr>
                <w:rFonts w:eastAsiaTheme="minorEastAsia"/>
                <w:sz w:val="18"/>
                <w:szCs w:val="18"/>
              </w:rPr>
              <w:br/>
              <w:t xml:space="preserve">Squaxin Nearshore Assessment Tool </w:t>
            </w:r>
            <w:r w:rsidRPr="00B90508">
              <w:rPr>
                <w:rFonts w:eastAsiaTheme="minorEastAsia"/>
                <w:sz w:val="18"/>
                <w:szCs w:val="18"/>
              </w:rPr>
              <w:br/>
            </w:r>
            <w:hyperlink r:id="rId60" w:history="1">
              <w:r w:rsidRPr="00B90508">
                <w:rPr>
                  <w:rFonts w:eastAsiaTheme="minorEastAsia"/>
                  <w:color w:val="2B5A8E"/>
                  <w:sz w:val="18"/>
                  <w:szCs w:val="18"/>
                  <w:u w:val="single"/>
                </w:rPr>
                <w:t>https://maps.squaxin.us/flex/hotss/</w:t>
              </w:r>
            </w:hyperlink>
            <w:r w:rsidRPr="00B90508">
              <w:rPr>
                <w:rFonts w:eastAsiaTheme="minorEastAsia"/>
                <w:sz w:val="18"/>
                <w:szCs w:val="18"/>
              </w:rPr>
              <w:t xml:space="preserve"> </w:t>
            </w:r>
          </w:p>
        </w:tc>
        <w:tc>
          <w:tcPr>
            <w:tcW w:w="1620" w:type="dxa"/>
            <w:shd w:val="clear" w:color="auto" w:fill="auto"/>
            <w:hideMark/>
          </w:tcPr>
          <w:p w14:paraId="1000C419"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Every 5 years from 1992-2011 (NOAA-funded program)</w:t>
            </w:r>
          </w:p>
        </w:tc>
        <w:tc>
          <w:tcPr>
            <w:tcW w:w="5935" w:type="dxa"/>
            <w:shd w:val="clear" w:color="auto" w:fill="auto"/>
            <w:hideMark/>
          </w:tcPr>
          <w:p w14:paraId="086FA224"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(1) Protect all intact marine riparian habitat throughout South Sound, 260 miles, of which 173.8 miles are in the areas identified as a priority in the Coastal Catchment Assessment and/or the Nearshore Project Selection Tool for Juvenile Salmon; and (2) restore 38.9 miles of degraded marine riparian habitat in the areas identified as a priority in the Coastal Catchment Assessment and/or the Nearshore Project Selection Tool for Juvenile Salmon.</w:t>
            </w:r>
          </w:p>
        </w:tc>
      </w:tr>
      <w:tr w:rsidR="00B90508" w:rsidRPr="00B90508" w14:paraId="54913319" w14:textId="77777777" w:rsidTr="00B90508">
        <w:trPr>
          <w:cantSplit/>
        </w:trPr>
        <w:tc>
          <w:tcPr>
            <w:tcW w:w="1345" w:type="dxa"/>
            <w:shd w:val="clear" w:color="auto" w:fill="auto"/>
            <w:hideMark/>
          </w:tcPr>
          <w:p w14:paraId="08EC7E9B"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Intact feeder bluff (sediment supply)</w:t>
            </w:r>
          </w:p>
        </w:tc>
        <w:tc>
          <w:tcPr>
            <w:tcW w:w="4050" w:type="dxa"/>
            <w:shd w:val="clear" w:color="auto" w:fill="auto"/>
            <w:hideMark/>
          </w:tcPr>
          <w:p w14:paraId="73C1B86D"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Puget Sound Feeder Bluff Shoretype Mapping (Ecology 2013)</w:t>
            </w:r>
            <w:r w:rsidRPr="00B90508">
              <w:rPr>
                <w:rFonts w:eastAsiaTheme="minorEastAsia"/>
                <w:sz w:val="18"/>
                <w:szCs w:val="18"/>
              </w:rPr>
              <w:br/>
            </w:r>
            <w:hyperlink r:id="rId61" w:history="1">
              <w:r w:rsidRPr="00B90508">
                <w:rPr>
                  <w:rFonts w:eastAsiaTheme="minorEastAsia"/>
                  <w:color w:val="2B5A8E"/>
                  <w:sz w:val="18"/>
                  <w:szCs w:val="18"/>
                  <w:u w:val="single"/>
                </w:rPr>
                <w:t>http://www.ecy.wa.gov/programs/sea/shorelines/FeederBluffs/mapping/</w:t>
              </w:r>
            </w:hyperlink>
            <w:r w:rsidRPr="00B90508">
              <w:rPr>
                <w:rFonts w:eastAsiaTheme="minorEastAsia"/>
                <w:sz w:val="18"/>
                <w:szCs w:val="18"/>
              </w:rPr>
              <w:t xml:space="preserve"> </w:t>
            </w:r>
          </w:p>
        </w:tc>
        <w:tc>
          <w:tcPr>
            <w:tcW w:w="1620" w:type="dxa"/>
            <w:shd w:val="clear" w:color="auto" w:fill="auto"/>
            <w:hideMark/>
          </w:tcPr>
          <w:p w14:paraId="69CD2FAC"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2013</w:t>
            </w:r>
          </w:p>
        </w:tc>
        <w:tc>
          <w:tcPr>
            <w:tcW w:w="5935" w:type="dxa"/>
            <w:shd w:val="clear" w:color="auto" w:fill="auto"/>
            <w:hideMark/>
          </w:tcPr>
          <w:p w14:paraId="7FAABFE8"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 (1) Protect all drift cells with &gt;80% intact feeder bluffs throughout South Sound, 92.5 miles, of which 61.7 miles are in the areas identified as a priority in the Coastal Catchment Assessment and/or the Nearshore Project Selection Tool for Juvenile Salmon.</w:t>
            </w:r>
          </w:p>
        </w:tc>
      </w:tr>
      <w:tr w:rsidR="00B90508" w:rsidRPr="00B90508" w14:paraId="7630C409" w14:textId="77777777" w:rsidTr="00B90508">
        <w:trPr>
          <w:cantSplit/>
        </w:trPr>
        <w:tc>
          <w:tcPr>
            <w:tcW w:w="1345" w:type="dxa"/>
            <w:shd w:val="clear" w:color="auto" w:fill="auto"/>
            <w:hideMark/>
          </w:tcPr>
          <w:p w14:paraId="61621DD2"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Surf smelt and sand lance abundance and distribution</w:t>
            </w:r>
          </w:p>
        </w:tc>
        <w:tc>
          <w:tcPr>
            <w:tcW w:w="4050" w:type="dxa"/>
            <w:shd w:val="clear" w:color="auto" w:fill="auto"/>
            <w:hideMark/>
          </w:tcPr>
          <w:p w14:paraId="0C1EF608"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Priority Habitat Species (WDFW 2016) - doc_sand_lance_spawning; doc_smelt_spawning; herrhold; herrspwn.  </w:t>
            </w:r>
            <w:r w:rsidRPr="00B90508">
              <w:rPr>
                <w:rFonts w:eastAsiaTheme="minorEastAsia"/>
                <w:sz w:val="18"/>
                <w:szCs w:val="18"/>
              </w:rPr>
              <w:br/>
            </w:r>
            <w:r w:rsidRPr="00B90508">
              <w:rPr>
                <w:rFonts w:eastAsiaTheme="minorEastAsia"/>
                <w:sz w:val="18"/>
                <w:szCs w:val="18"/>
              </w:rPr>
              <w:br/>
              <w:t>Integrated Nearshore Priorities Project</w:t>
            </w:r>
            <w:r w:rsidRPr="00B90508">
              <w:rPr>
                <w:rFonts w:eastAsiaTheme="minorEastAsia"/>
                <w:sz w:val="18"/>
                <w:szCs w:val="18"/>
              </w:rPr>
              <w:br/>
            </w:r>
            <w:hyperlink r:id="rId62" w:history="1">
              <w:r w:rsidRPr="00B90508">
                <w:rPr>
                  <w:rFonts w:eastAsiaTheme="minorEastAsia"/>
                  <w:color w:val="2B5A8E"/>
                  <w:sz w:val="18"/>
                  <w:szCs w:val="18"/>
                  <w:u w:val="single"/>
                </w:rPr>
                <w:t>https://www.arcgis.com/home/item.html?id=00dadc1fedac438181b2c703f1f45f2b</w:t>
              </w:r>
            </w:hyperlink>
            <w:r w:rsidRPr="00B90508">
              <w:rPr>
                <w:rFonts w:eastAsiaTheme="minorEastAsia"/>
                <w:sz w:val="18"/>
                <w:szCs w:val="18"/>
              </w:rPr>
              <w:t xml:space="preserve">  </w:t>
            </w:r>
          </w:p>
        </w:tc>
        <w:tc>
          <w:tcPr>
            <w:tcW w:w="1620" w:type="dxa"/>
            <w:shd w:val="clear" w:color="auto" w:fill="auto"/>
            <w:hideMark/>
          </w:tcPr>
          <w:p w14:paraId="1AD1443C"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WDFW PHS, 2016</w:t>
            </w:r>
            <w:r w:rsidRPr="00B90508">
              <w:rPr>
                <w:rFonts w:eastAsiaTheme="minorEastAsia"/>
                <w:sz w:val="18"/>
                <w:szCs w:val="18"/>
              </w:rPr>
              <w:br/>
            </w:r>
            <w:r w:rsidRPr="00B90508">
              <w:rPr>
                <w:rFonts w:eastAsiaTheme="minorEastAsia"/>
                <w:sz w:val="18"/>
                <w:szCs w:val="18"/>
              </w:rPr>
              <w:br/>
              <w:t>INP, 2014</w:t>
            </w:r>
          </w:p>
        </w:tc>
        <w:tc>
          <w:tcPr>
            <w:tcW w:w="5935" w:type="dxa"/>
            <w:shd w:val="clear" w:color="auto" w:fill="auto"/>
            <w:hideMark/>
          </w:tcPr>
          <w:p w14:paraId="69337588"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Not at this time</w:t>
            </w:r>
          </w:p>
        </w:tc>
      </w:tr>
      <w:tr w:rsidR="00B90508" w:rsidRPr="00B90508" w14:paraId="74AE4E00" w14:textId="77777777" w:rsidTr="00B90508">
        <w:trPr>
          <w:cantSplit/>
        </w:trPr>
        <w:tc>
          <w:tcPr>
            <w:tcW w:w="1345" w:type="dxa"/>
            <w:shd w:val="clear" w:color="auto" w:fill="auto"/>
            <w:hideMark/>
          </w:tcPr>
          <w:p w14:paraId="47DD811C"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Intact small/pocket estuaries </w:t>
            </w:r>
          </w:p>
        </w:tc>
        <w:tc>
          <w:tcPr>
            <w:tcW w:w="4050" w:type="dxa"/>
            <w:shd w:val="clear" w:color="auto" w:fill="auto"/>
            <w:hideMark/>
          </w:tcPr>
          <w:p w14:paraId="17AEE21F"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Salmon and Steelhead Habitat Inventory and Assessment Project (SSHIAP) </w:t>
            </w:r>
            <w:r w:rsidRPr="00B90508">
              <w:rPr>
                <w:rFonts w:eastAsiaTheme="minorEastAsia"/>
                <w:sz w:val="18"/>
                <w:szCs w:val="18"/>
              </w:rPr>
              <w:br/>
            </w:r>
            <w:hyperlink r:id="rId63" w:history="1">
              <w:r w:rsidRPr="00B90508">
                <w:rPr>
                  <w:rFonts w:eastAsiaTheme="minorEastAsia"/>
                  <w:color w:val="2B5A8E"/>
                  <w:sz w:val="18"/>
                  <w:szCs w:val="18"/>
                  <w:u w:val="single"/>
                </w:rPr>
                <w:t>http://nwifc.org/about-us/habitat/sshiap/</w:t>
              </w:r>
            </w:hyperlink>
            <w:r w:rsidRPr="00B90508">
              <w:rPr>
                <w:rFonts w:eastAsiaTheme="minorEastAsia"/>
                <w:sz w:val="18"/>
                <w:szCs w:val="18"/>
              </w:rPr>
              <w:t xml:space="preserve"> </w:t>
            </w:r>
            <w:r w:rsidRPr="00B90508">
              <w:rPr>
                <w:rFonts w:eastAsiaTheme="minorEastAsia"/>
                <w:sz w:val="18"/>
                <w:szCs w:val="18"/>
              </w:rPr>
              <w:br/>
            </w:r>
            <w:r w:rsidRPr="00B90508">
              <w:rPr>
                <w:rFonts w:eastAsiaTheme="minorEastAsia"/>
                <w:sz w:val="18"/>
                <w:szCs w:val="18"/>
              </w:rPr>
              <w:br/>
              <w:t>Squaxin Nearshore Assessment Tool (which was based on WDNR ShoreZone)</w:t>
            </w:r>
            <w:r w:rsidRPr="00B90508">
              <w:rPr>
                <w:rFonts w:eastAsiaTheme="minorEastAsia"/>
                <w:sz w:val="18"/>
                <w:szCs w:val="18"/>
              </w:rPr>
              <w:br/>
            </w:r>
            <w:hyperlink r:id="rId64" w:history="1">
              <w:r w:rsidRPr="00B90508">
                <w:rPr>
                  <w:rFonts w:eastAsiaTheme="minorEastAsia"/>
                  <w:color w:val="2B5A8E"/>
                  <w:sz w:val="18"/>
                  <w:szCs w:val="18"/>
                  <w:u w:val="single"/>
                </w:rPr>
                <w:t>https://maps.squaxin.us/flex/hotss/</w:t>
              </w:r>
            </w:hyperlink>
            <w:r w:rsidRPr="00B90508">
              <w:rPr>
                <w:rFonts w:eastAsiaTheme="minorEastAsia"/>
                <w:sz w:val="18"/>
                <w:szCs w:val="18"/>
              </w:rPr>
              <w:t xml:space="preserve"> </w:t>
            </w:r>
          </w:p>
        </w:tc>
        <w:tc>
          <w:tcPr>
            <w:tcW w:w="1620" w:type="dxa"/>
            <w:shd w:val="clear" w:color="auto" w:fill="auto"/>
            <w:hideMark/>
          </w:tcPr>
          <w:p w14:paraId="2B2575A9"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SSHIAP (current)</w:t>
            </w:r>
            <w:r w:rsidRPr="00B90508">
              <w:rPr>
                <w:rFonts w:eastAsiaTheme="minorEastAsia"/>
                <w:sz w:val="18"/>
                <w:szCs w:val="18"/>
              </w:rPr>
              <w:br/>
            </w:r>
            <w:r w:rsidRPr="00B90508">
              <w:rPr>
                <w:rFonts w:eastAsiaTheme="minorEastAsia"/>
                <w:sz w:val="18"/>
                <w:szCs w:val="18"/>
              </w:rPr>
              <w:br/>
              <w:t>WDNR Shorezone 2000</w:t>
            </w:r>
          </w:p>
        </w:tc>
        <w:tc>
          <w:tcPr>
            <w:tcW w:w="5935" w:type="dxa"/>
            <w:shd w:val="clear" w:color="auto" w:fill="auto"/>
            <w:hideMark/>
          </w:tcPr>
          <w:p w14:paraId="571FA94A"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 (1) Protect all intact small pocket estuary shoreline throughout South Sound, 85 miles, of which 70.3 miles are in the areas identified as a priority in the Coastal Catchment Assessment and/or the Nearshore Project Selection Tool for Juvenile Salmon; and (2) restore 12.6 miles of degraded small estuary habitat in the areas identified as a priority in the Coastal Catchment Assessment and/or the Nearshore Project Selection Tool for Juvenile Salmon.</w:t>
            </w:r>
          </w:p>
        </w:tc>
      </w:tr>
      <w:tr w:rsidR="00B90508" w:rsidRPr="00B90508" w14:paraId="089A921E" w14:textId="77777777" w:rsidTr="00B90508">
        <w:trPr>
          <w:cantSplit/>
        </w:trPr>
        <w:tc>
          <w:tcPr>
            <w:tcW w:w="1345" w:type="dxa"/>
            <w:shd w:val="clear" w:color="auto" w:fill="auto"/>
            <w:hideMark/>
          </w:tcPr>
          <w:p w14:paraId="5DF35933"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Intact large estuaries</w:t>
            </w:r>
          </w:p>
        </w:tc>
        <w:tc>
          <w:tcPr>
            <w:tcW w:w="4050" w:type="dxa"/>
            <w:shd w:val="clear" w:color="auto" w:fill="auto"/>
            <w:hideMark/>
          </w:tcPr>
          <w:p w14:paraId="5BB1D577"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Squaxin Nearshore Assessment Tool  (which was based on WDNR ShoreZone)</w:t>
            </w:r>
            <w:r w:rsidRPr="00B90508">
              <w:rPr>
                <w:rFonts w:eastAsiaTheme="minorEastAsia"/>
                <w:sz w:val="18"/>
                <w:szCs w:val="18"/>
              </w:rPr>
              <w:br/>
            </w:r>
            <w:hyperlink r:id="rId65" w:history="1">
              <w:r w:rsidRPr="00B90508">
                <w:rPr>
                  <w:rFonts w:eastAsiaTheme="minorEastAsia"/>
                  <w:color w:val="2B5A8E"/>
                  <w:sz w:val="18"/>
                  <w:szCs w:val="18"/>
                  <w:u w:val="single"/>
                </w:rPr>
                <w:t>https://maps.squaxin.us/flex/hotss/</w:t>
              </w:r>
            </w:hyperlink>
            <w:r w:rsidRPr="00B90508">
              <w:rPr>
                <w:rFonts w:eastAsiaTheme="minorEastAsia"/>
                <w:sz w:val="18"/>
                <w:szCs w:val="18"/>
              </w:rPr>
              <w:t xml:space="preserve"> </w:t>
            </w:r>
          </w:p>
        </w:tc>
        <w:tc>
          <w:tcPr>
            <w:tcW w:w="1620" w:type="dxa"/>
            <w:shd w:val="clear" w:color="auto" w:fill="auto"/>
            <w:hideMark/>
          </w:tcPr>
          <w:p w14:paraId="50570B33"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2016</w:t>
            </w:r>
          </w:p>
        </w:tc>
        <w:tc>
          <w:tcPr>
            <w:tcW w:w="5935" w:type="dxa"/>
            <w:shd w:val="clear" w:color="auto" w:fill="auto"/>
            <w:hideMark/>
          </w:tcPr>
          <w:p w14:paraId="36557C9E"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 (1) Protect all intact large estuary shoreline throughout South Sound, 15.7 miles, of which 14.6 miles are in the areas identified as a priority in the Coastal Catchment Assessment and/or the Nearshore Project Selection Tool for Juvenile Salmon; and (2) restore 1.6 miles of degraded large estuary habitat in the areas identified as a priority in the Squaxin Island Tribe Nearshore Project Selection Tool for Juvenile Salmon.</w:t>
            </w:r>
          </w:p>
        </w:tc>
      </w:tr>
      <w:tr w:rsidR="00B90508" w:rsidRPr="00B90508" w14:paraId="2B0F24E2" w14:textId="77777777" w:rsidTr="00B90508">
        <w:trPr>
          <w:cantSplit/>
        </w:trPr>
        <w:tc>
          <w:tcPr>
            <w:tcW w:w="1345" w:type="dxa"/>
            <w:shd w:val="clear" w:color="auto" w:fill="auto"/>
            <w:hideMark/>
          </w:tcPr>
          <w:p w14:paraId="2CE43EC6"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lastRenderedPageBreak/>
              <w:t>Eelgrass beds</w:t>
            </w:r>
          </w:p>
        </w:tc>
        <w:tc>
          <w:tcPr>
            <w:tcW w:w="4050" w:type="dxa"/>
            <w:shd w:val="clear" w:color="auto" w:fill="auto"/>
            <w:hideMark/>
          </w:tcPr>
          <w:p w14:paraId="4B48FC68"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Squaxin Nearshore Assessment Tool (WDNR ShoreZone data for eelgrass)</w:t>
            </w:r>
            <w:r w:rsidRPr="00B90508">
              <w:rPr>
                <w:rFonts w:eastAsiaTheme="minorEastAsia"/>
                <w:sz w:val="18"/>
                <w:szCs w:val="18"/>
              </w:rPr>
              <w:br/>
            </w:r>
            <w:hyperlink r:id="rId66" w:history="1">
              <w:r w:rsidRPr="00B90508">
                <w:rPr>
                  <w:rFonts w:eastAsiaTheme="minorEastAsia"/>
                  <w:color w:val="2B5A8E"/>
                  <w:sz w:val="18"/>
                  <w:szCs w:val="18"/>
                  <w:u w:val="single"/>
                </w:rPr>
                <w:t>https://maps.squaxin.us/flex/hotss/</w:t>
              </w:r>
            </w:hyperlink>
            <w:r w:rsidRPr="00B90508">
              <w:rPr>
                <w:rFonts w:eastAsiaTheme="minorEastAsia"/>
                <w:sz w:val="18"/>
                <w:szCs w:val="18"/>
              </w:rPr>
              <w:t xml:space="preserve"> </w:t>
            </w:r>
            <w:r w:rsidRPr="00B90508">
              <w:rPr>
                <w:rFonts w:eastAsiaTheme="minorEastAsia"/>
                <w:sz w:val="18"/>
                <w:szCs w:val="18"/>
              </w:rPr>
              <w:br/>
            </w:r>
            <w:r w:rsidRPr="00B90508">
              <w:rPr>
                <w:rFonts w:eastAsiaTheme="minorEastAsia"/>
                <w:sz w:val="18"/>
                <w:szCs w:val="18"/>
              </w:rPr>
              <w:br/>
              <w:t>WDNR Puget Sound Eelgrass Monitoring Main Geodatabase</w:t>
            </w:r>
            <w:r w:rsidRPr="00B90508">
              <w:rPr>
                <w:rFonts w:eastAsiaTheme="minorEastAsia"/>
                <w:sz w:val="18"/>
                <w:szCs w:val="18"/>
              </w:rPr>
              <w:br/>
            </w:r>
            <w:hyperlink r:id="rId67" w:history="1">
              <w:r w:rsidRPr="00B90508">
                <w:rPr>
                  <w:rFonts w:eastAsiaTheme="minorEastAsia"/>
                  <w:color w:val="2B5A8E"/>
                  <w:sz w:val="18"/>
                  <w:szCs w:val="18"/>
                  <w:u w:val="single"/>
                </w:rPr>
                <w:t>http://www.dnr.wa.gov/programs-and-services/aquatics/aquatic-science/nearshore-habitat-eelgrass-monitoring</w:t>
              </w:r>
            </w:hyperlink>
            <w:r w:rsidRPr="00B90508">
              <w:rPr>
                <w:rFonts w:eastAsiaTheme="minorEastAsia"/>
                <w:sz w:val="18"/>
                <w:szCs w:val="18"/>
              </w:rPr>
              <w:t xml:space="preserve"> </w:t>
            </w:r>
          </w:p>
        </w:tc>
        <w:tc>
          <w:tcPr>
            <w:tcW w:w="1620" w:type="dxa"/>
            <w:shd w:val="clear" w:color="auto" w:fill="auto"/>
            <w:hideMark/>
          </w:tcPr>
          <w:p w14:paraId="4A0810C0"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WDNR Eelgrass dataset 2000-2014 (last updated)</w:t>
            </w:r>
          </w:p>
        </w:tc>
        <w:tc>
          <w:tcPr>
            <w:tcW w:w="5935" w:type="dxa"/>
            <w:shd w:val="clear" w:color="auto" w:fill="auto"/>
            <w:hideMark/>
          </w:tcPr>
          <w:p w14:paraId="32776FF7"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Not at this time</w:t>
            </w:r>
          </w:p>
        </w:tc>
      </w:tr>
      <w:tr w:rsidR="00B90508" w:rsidRPr="00B90508" w14:paraId="4748C8A8" w14:textId="77777777" w:rsidTr="00B90508">
        <w:trPr>
          <w:cantSplit/>
        </w:trPr>
        <w:tc>
          <w:tcPr>
            <w:tcW w:w="1345" w:type="dxa"/>
            <w:shd w:val="clear" w:color="auto" w:fill="auto"/>
            <w:hideMark/>
          </w:tcPr>
          <w:p w14:paraId="7F06B6E2"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Modified shorelines</w:t>
            </w:r>
          </w:p>
        </w:tc>
        <w:tc>
          <w:tcPr>
            <w:tcW w:w="4050" w:type="dxa"/>
            <w:shd w:val="clear" w:color="auto" w:fill="auto"/>
            <w:hideMark/>
          </w:tcPr>
          <w:p w14:paraId="3FA2F290"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Squaxin Nearshore Assessment Tool</w:t>
            </w:r>
            <w:r w:rsidRPr="00B90508">
              <w:rPr>
                <w:rFonts w:eastAsiaTheme="minorEastAsia"/>
                <w:sz w:val="18"/>
                <w:szCs w:val="18"/>
              </w:rPr>
              <w:br/>
            </w:r>
            <w:hyperlink r:id="rId68" w:history="1">
              <w:r w:rsidRPr="00B90508">
                <w:rPr>
                  <w:rFonts w:eastAsiaTheme="minorEastAsia"/>
                  <w:color w:val="2B5A8E"/>
                  <w:sz w:val="18"/>
                  <w:szCs w:val="18"/>
                  <w:u w:val="single"/>
                </w:rPr>
                <w:t>https://maps.squaxin.us/flex/hotss/</w:t>
              </w:r>
            </w:hyperlink>
            <w:r w:rsidRPr="00B90508">
              <w:rPr>
                <w:rFonts w:eastAsiaTheme="minorEastAsia"/>
                <w:sz w:val="18"/>
                <w:szCs w:val="18"/>
              </w:rPr>
              <w:t xml:space="preserve"> </w:t>
            </w:r>
          </w:p>
        </w:tc>
        <w:tc>
          <w:tcPr>
            <w:tcW w:w="1620" w:type="dxa"/>
            <w:shd w:val="clear" w:color="auto" w:fill="auto"/>
            <w:hideMark/>
          </w:tcPr>
          <w:p w14:paraId="69405EE5"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2014</w:t>
            </w:r>
          </w:p>
        </w:tc>
        <w:tc>
          <w:tcPr>
            <w:tcW w:w="5935" w:type="dxa"/>
            <w:shd w:val="clear" w:color="auto" w:fill="auto"/>
            <w:hideMark/>
          </w:tcPr>
          <w:p w14:paraId="65855633"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 (1) Protect all intact shoreline throughout South Sound, 278.6 miles, of which 193.1 miles are in the areas identified as a priority in the Coastal Catchment Assessment and/or the Nearshore Project Selection Tool for Juvenile Salmon; and (2) Restore 61.3 miles of modified shoreline in the areas identified as a priority in the Coastal Catchment Assessment and/or the Nearshore Project Selection Tool for Juvenile Salmon.</w:t>
            </w:r>
          </w:p>
        </w:tc>
      </w:tr>
      <w:tr w:rsidR="00B90508" w:rsidRPr="00B90508" w14:paraId="0D6E3CB0" w14:textId="77777777" w:rsidTr="00B90508">
        <w:trPr>
          <w:cantSplit/>
        </w:trPr>
        <w:tc>
          <w:tcPr>
            <w:tcW w:w="1345" w:type="dxa"/>
            <w:shd w:val="clear" w:color="auto" w:fill="auto"/>
            <w:hideMark/>
          </w:tcPr>
          <w:p w14:paraId="4E469E9C"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Herring abundance and distribution </w:t>
            </w:r>
          </w:p>
        </w:tc>
        <w:tc>
          <w:tcPr>
            <w:tcW w:w="4050" w:type="dxa"/>
            <w:shd w:val="clear" w:color="auto" w:fill="auto"/>
            <w:hideMark/>
          </w:tcPr>
          <w:p w14:paraId="063FAEC0"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WDFW Puget Sound Herring Spawning Biomass Estimates</w:t>
            </w:r>
            <w:r w:rsidRPr="00B90508">
              <w:rPr>
                <w:rFonts w:eastAsiaTheme="minorEastAsia"/>
                <w:sz w:val="18"/>
                <w:szCs w:val="18"/>
              </w:rPr>
              <w:br/>
            </w:r>
            <w:hyperlink r:id="rId69" w:history="1">
              <w:r w:rsidRPr="00B90508">
                <w:rPr>
                  <w:rFonts w:eastAsiaTheme="minorEastAsia"/>
                  <w:color w:val="2B5A8E"/>
                  <w:sz w:val="18"/>
                  <w:szCs w:val="18"/>
                  <w:u w:val="single"/>
                </w:rPr>
                <w:t>http://wdfw.wa.gov/conservation/research/projects/marine_fish_monitoring/herring_population_assessment/</w:t>
              </w:r>
            </w:hyperlink>
            <w:r w:rsidRPr="00B90508">
              <w:rPr>
                <w:rFonts w:eastAsiaTheme="minorEastAsia"/>
                <w:sz w:val="18"/>
                <w:szCs w:val="18"/>
              </w:rPr>
              <w:t xml:space="preserve"> </w:t>
            </w:r>
          </w:p>
        </w:tc>
        <w:tc>
          <w:tcPr>
            <w:tcW w:w="1620" w:type="dxa"/>
            <w:shd w:val="clear" w:color="auto" w:fill="auto"/>
            <w:hideMark/>
          </w:tcPr>
          <w:p w14:paraId="541FBAB0"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1973-2010</w:t>
            </w:r>
          </w:p>
        </w:tc>
        <w:tc>
          <w:tcPr>
            <w:tcW w:w="5935" w:type="dxa"/>
            <w:shd w:val="clear" w:color="auto" w:fill="auto"/>
            <w:hideMark/>
          </w:tcPr>
          <w:p w14:paraId="6049E1F4"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Not at this time</w:t>
            </w:r>
          </w:p>
        </w:tc>
      </w:tr>
      <w:tr w:rsidR="00B90508" w:rsidRPr="00B90508" w14:paraId="00C6A903" w14:textId="77777777" w:rsidTr="00B90508">
        <w:trPr>
          <w:cantSplit/>
        </w:trPr>
        <w:tc>
          <w:tcPr>
            <w:tcW w:w="1345" w:type="dxa"/>
            <w:shd w:val="clear" w:color="auto" w:fill="auto"/>
            <w:hideMark/>
          </w:tcPr>
          <w:p w14:paraId="591AE6C1"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Harvestable shellfish</w:t>
            </w:r>
          </w:p>
        </w:tc>
        <w:tc>
          <w:tcPr>
            <w:tcW w:w="4050" w:type="dxa"/>
            <w:shd w:val="clear" w:color="auto" w:fill="auto"/>
            <w:hideMark/>
          </w:tcPr>
          <w:p w14:paraId="78136A81"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Department of Health </w:t>
            </w:r>
            <w:r w:rsidRPr="00B90508">
              <w:rPr>
                <w:rFonts w:eastAsiaTheme="minorEastAsia"/>
                <w:sz w:val="18"/>
                <w:szCs w:val="18"/>
              </w:rPr>
              <w:br/>
            </w:r>
            <w:r w:rsidRPr="00B90508">
              <w:rPr>
                <w:rFonts w:eastAsiaTheme="minorEastAsia"/>
                <w:sz w:val="18"/>
                <w:szCs w:val="18"/>
              </w:rPr>
              <w:br/>
              <w:t xml:space="preserve">Recreation Harvest maps: </w:t>
            </w:r>
            <w:r w:rsidRPr="00B90508">
              <w:rPr>
                <w:rFonts w:eastAsiaTheme="minorEastAsia"/>
                <w:sz w:val="18"/>
                <w:szCs w:val="18"/>
              </w:rPr>
              <w:br/>
            </w:r>
            <w:hyperlink r:id="rId70" w:history="1">
              <w:r w:rsidRPr="00B90508">
                <w:rPr>
                  <w:rFonts w:eastAsiaTheme="minorEastAsia"/>
                  <w:color w:val="2B5A8E"/>
                  <w:sz w:val="18"/>
                  <w:szCs w:val="18"/>
                  <w:u w:val="single"/>
                </w:rPr>
                <w:t>https://fortress.wa.gov/doh/eh/maps/biotoxin/biotoxin.html</w:t>
              </w:r>
            </w:hyperlink>
            <w:r w:rsidRPr="00B90508">
              <w:rPr>
                <w:rFonts w:eastAsiaTheme="minorEastAsia"/>
                <w:sz w:val="18"/>
                <w:szCs w:val="18"/>
              </w:rPr>
              <w:t xml:space="preserve"> </w:t>
            </w:r>
          </w:p>
          <w:p w14:paraId="1BE9C263"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br/>
              <w:t xml:space="preserve">Commercial Harvest maps: </w:t>
            </w:r>
            <w:r w:rsidRPr="00B90508">
              <w:rPr>
                <w:rFonts w:eastAsiaTheme="minorEastAsia"/>
                <w:sz w:val="18"/>
                <w:szCs w:val="18"/>
              </w:rPr>
              <w:br/>
            </w:r>
            <w:hyperlink r:id="rId71" w:history="1">
              <w:r w:rsidRPr="00B90508">
                <w:rPr>
                  <w:rFonts w:eastAsiaTheme="minorEastAsia"/>
                  <w:color w:val="2B5A8E"/>
                  <w:sz w:val="18"/>
                  <w:szCs w:val="18"/>
                  <w:u w:val="single"/>
                </w:rPr>
                <w:t>https://fortress.wa.gov/doh/eh/maps/OSWPViewer/index.html</w:t>
              </w:r>
            </w:hyperlink>
            <w:r w:rsidRPr="00B90508">
              <w:rPr>
                <w:rFonts w:eastAsiaTheme="minorEastAsia"/>
                <w:sz w:val="18"/>
                <w:szCs w:val="18"/>
              </w:rPr>
              <w:t xml:space="preserve"> </w:t>
            </w:r>
          </w:p>
        </w:tc>
        <w:tc>
          <w:tcPr>
            <w:tcW w:w="1620" w:type="dxa"/>
            <w:shd w:val="clear" w:color="auto" w:fill="auto"/>
            <w:hideMark/>
          </w:tcPr>
          <w:p w14:paraId="71D31C9D"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2016 - Annually</w:t>
            </w:r>
          </w:p>
        </w:tc>
        <w:tc>
          <w:tcPr>
            <w:tcW w:w="5935" w:type="dxa"/>
            <w:shd w:val="clear" w:color="auto" w:fill="auto"/>
            <w:hideMark/>
          </w:tcPr>
          <w:p w14:paraId="4AFDAC45"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(1) Maintain all South Sound shellfish areas that are currently approved for harvest (33,691 acres); and (2) reopen 703 acres to harvest in Burley Lagoon, Oakland Bay, McLane Cove, Henderson Inlet, Rocky Bay, Vaughn Bay, Filucy Bay, and Nisqually Reach in accordance with shellfish protection district recovery plans.</w:t>
            </w:r>
          </w:p>
        </w:tc>
      </w:tr>
      <w:tr w:rsidR="00B90508" w:rsidRPr="00B90508" w14:paraId="1D4419ED" w14:textId="77777777" w:rsidTr="00B90508">
        <w:trPr>
          <w:cantSplit/>
        </w:trPr>
        <w:tc>
          <w:tcPr>
            <w:tcW w:w="1345" w:type="dxa"/>
            <w:shd w:val="clear" w:color="auto" w:fill="auto"/>
            <w:hideMark/>
          </w:tcPr>
          <w:p w14:paraId="604E98AD"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Marine water quality</w:t>
            </w:r>
          </w:p>
        </w:tc>
        <w:tc>
          <w:tcPr>
            <w:tcW w:w="4050" w:type="dxa"/>
            <w:shd w:val="clear" w:color="auto" w:fill="auto"/>
            <w:hideMark/>
          </w:tcPr>
          <w:p w14:paraId="424414B8"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Ecology Marine Water Quality Monitoring</w:t>
            </w:r>
            <w:r w:rsidRPr="00B90508">
              <w:rPr>
                <w:rFonts w:eastAsiaTheme="minorEastAsia"/>
                <w:sz w:val="18"/>
                <w:szCs w:val="18"/>
              </w:rPr>
              <w:br/>
              <w:t>http://www.ecy.wa.gov/programs/eap/mar_wat/</w:t>
            </w:r>
          </w:p>
        </w:tc>
        <w:tc>
          <w:tcPr>
            <w:tcW w:w="1620" w:type="dxa"/>
            <w:shd w:val="clear" w:color="auto" w:fill="auto"/>
            <w:hideMark/>
          </w:tcPr>
          <w:p w14:paraId="48DB9D0D"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1999-2014</w:t>
            </w:r>
          </w:p>
        </w:tc>
        <w:tc>
          <w:tcPr>
            <w:tcW w:w="5935" w:type="dxa"/>
            <w:shd w:val="clear" w:color="auto" w:fill="auto"/>
            <w:hideMark/>
          </w:tcPr>
          <w:p w14:paraId="2C24DD22"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Not at this time. Maintain or improve the MWCI score for the South Sound monitoring stations.</w:t>
            </w:r>
          </w:p>
        </w:tc>
      </w:tr>
      <w:tr w:rsidR="00B90508" w:rsidRPr="00B90508" w14:paraId="2BF0B2E9" w14:textId="77777777" w:rsidTr="00B90508">
        <w:trPr>
          <w:cantSplit/>
        </w:trPr>
        <w:tc>
          <w:tcPr>
            <w:tcW w:w="1345" w:type="dxa"/>
            <w:shd w:val="clear" w:color="auto" w:fill="auto"/>
            <w:hideMark/>
          </w:tcPr>
          <w:p w14:paraId="58A351E4"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Freshwater riparian habitat</w:t>
            </w:r>
          </w:p>
        </w:tc>
        <w:tc>
          <w:tcPr>
            <w:tcW w:w="4050" w:type="dxa"/>
            <w:shd w:val="clear" w:color="auto" w:fill="auto"/>
            <w:hideMark/>
          </w:tcPr>
          <w:p w14:paraId="0C898BE5"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NOAA Coastal Change Analysis Program (CCAP) 2011 </w:t>
            </w:r>
            <w:r w:rsidRPr="00B90508">
              <w:rPr>
                <w:rFonts w:eastAsiaTheme="minorEastAsia"/>
                <w:sz w:val="18"/>
                <w:szCs w:val="18"/>
              </w:rPr>
              <w:br/>
            </w:r>
            <w:hyperlink r:id="rId72" w:history="1">
              <w:r w:rsidRPr="00B90508">
                <w:rPr>
                  <w:rFonts w:eastAsiaTheme="minorEastAsia"/>
                  <w:color w:val="2B5A8E"/>
                  <w:sz w:val="18"/>
                  <w:szCs w:val="18"/>
                  <w:u w:val="single"/>
                </w:rPr>
                <w:t>https://coast.noaa.gov/dataregistry/search/dataset/29B19ED9-7564-4820-9947-937A40793204</w:t>
              </w:r>
            </w:hyperlink>
            <w:r w:rsidRPr="00B90508">
              <w:rPr>
                <w:rFonts w:eastAsiaTheme="minorEastAsia"/>
                <w:sz w:val="18"/>
                <w:szCs w:val="18"/>
              </w:rPr>
              <w:t xml:space="preserve"> </w:t>
            </w:r>
          </w:p>
        </w:tc>
        <w:tc>
          <w:tcPr>
            <w:tcW w:w="1620" w:type="dxa"/>
            <w:shd w:val="clear" w:color="auto" w:fill="auto"/>
            <w:hideMark/>
          </w:tcPr>
          <w:p w14:paraId="13C89188"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Every 5 years from 1992-2011 (NOAA-funded program)</w:t>
            </w:r>
          </w:p>
        </w:tc>
        <w:tc>
          <w:tcPr>
            <w:tcW w:w="5935" w:type="dxa"/>
            <w:shd w:val="clear" w:color="auto" w:fill="auto"/>
            <w:hideMark/>
          </w:tcPr>
          <w:p w14:paraId="1083D0DF"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(1) Protect all intact fresh water riparian habitat in areas identified for protection or restoration in the Ecology watershed characterization, 25,664 acres; and (2) restore 5,197 acres of fresh water riparian habitat in areas identified for protection or restoration in the Ecology watershed characterization.</w:t>
            </w:r>
          </w:p>
        </w:tc>
      </w:tr>
      <w:tr w:rsidR="00B90508" w:rsidRPr="00B90508" w14:paraId="50D8B635" w14:textId="77777777" w:rsidTr="00B90508">
        <w:trPr>
          <w:cantSplit/>
        </w:trPr>
        <w:tc>
          <w:tcPr>
            <w:tcW w:w="1345" w:type="dxa"/>
            <w:shd w:val="clear" w:color="auto" w:fill="auto"/>
            <w:hideMark/>
          </w:tcPr>
          <w:p w14:paraId="4C0C5B74"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lastRenderedPageBreak/>
              <w:t>Fish passage barriers</w:t>
            </w:r>
          </w:p>
        </w:tc>
        <w:tc>
          <w:tcPr>
            <w:tcW w:w="4050" w:type="dxa"/>
            <w:shd w:val="clear" w:color="auto" w:fill="auto"/>
            <w:hideMark/>
          </w:tcPr>
          <w:p w14:paraId="111D3D92"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WDFW Fish Passage Database </w:t>
            </w:r>
            <w:r w:rsidRPr="00B90508">
              <w:rPr>
                <w:rFonts w:eastAsiaTheme="minorEastAsia"/>
                <w:sz w:val="18"/>
                <w:szCs w:val="18"/>
              </w:rPr>
              <w:br/>
            </w:r>
            <w:hyperlink r:id="rId73" w:history="1">
              <w:r w:rsidRPr="00B90508">
                <w:rPr>
                  <w:rFonts w:eastAsiaTheme="minorEastAsia"/>
                  <w:color w:val="2B5A8E"/>
                  <w:sz w:val="18"/>
                  <w:szCs w:val="18"/>
                  <w:u w:val="single"/>
                </w:rPr>
                <w:t>http://apps.wdfw.wa.gov/fishpassage/</w:t>
              </w:r>
            </w:hyperlink>
            <w:r w:rsidRPr="00B90508">
              <w:rPr>
                <w:rFonts w:eastAsiaTheme="minorEastAsia"/>
                <w:sz w:val="18"/>
                <w:szCs w:val="18"/>
              </w:rPr>
              <w:t xml:space="preserve"> </w:t>
            </w:r>
          </w:p>
        </w:tc>
        <w:tc>
          <w:tcPr>
            <w:tcW w:w="1620" w:type="dxa"/>
            <w:shd w:val="clear" w:color="auto" w:fill="auto"/>
            <w:hideMark/>
          </w:tcPr>
          <w:p w14:paraId="29CFC802"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Ongoing updates</w:t>
            </w:r>
          </w:p>
        </w:tc>
        <w:tc>
          <w:tcPr>
            <w:tcW w:w="5935" w:type="dxa"/>
            <w:shd w:val="clear" w:color="auto" w:fill="auto"/>
            <w:hideMark/>
          </w:tcPr>
          <w:p w14:paraId="2338B085"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(1) Restore the four partial barriers in Carr Inlet, Henderson Inlet, and Nisqually that have a WDFW Priority Index greater than 50, (2) Prioritize restoring both total and partial barriers that have a WDFW Priority Index between 25 and 50 (50 barriers).</w:t>
            </w:r>
          </w:p>
        </w:tc>
      </w:tr>
      <w:tr w:rsidR="00B90508" w:rsidRPr="00B90508" w14:paraId="56090678" w14:textId="77777777" w:rsidTr="00B90508">
        <w:trPr>
          <w:cantSplit/>
        </w:trPr>
        <w:tc>
          <w:tcPr>
            <w:tcW w:w="1345" w:type="dxa"/>
            <w:shd w:val="clear" w:color="auto" w:fill="auto"/>
            <w:hideMark/>
          </w:tcPr>
          <w:p w14:paraId="24D2EB91"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Summer low flows</w:t>
            </w:r>
          </w:p>
        </w:tc>
        <w:tc>
          <w:tcPr>
            <w:tcW w:w="4050" w:type="dxa"/>
            <w:shd w:val="clear" w:color="auto" w:fill="auto"/>
            <w:hideMark/>
          </w:tcPr>
          <w:p w14:paraId="4AA3EB1F"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USGS Gage Monitoring</w:t>
            </w:r>
            <w:r w:rsidRPr="00B90508">
              <w:rPr>
                <w:rFonts w:eastAsiaTheme="minorEastAsia"/>
                <w:sz w:val="18"/>
                <w:szCs w:val="18"/>
              </w:rPr>
              <w:br/>
            </w:r>
            <w:hyperlink r:id="rId74" w:history="1">
              <w:r w:rsidRPr="00B90508">
                <w:rPr>
                  <w:rFonts w:eastAsiaTheme="minorEastAsia"/>
                  <w:color w:val="2B5A8E"/>
                  <w:sz w:val="18"/>
                  <w:szCs w:val="18"/>
                  <w:u w:val="single"/>
                </w:rPr>
                <w:t>http://waterdata.usgs.gov/wa/nwis/current?type=sopuget</w:t>
              </w:r>
            </w:hyperlink>
            <w:r w:rsidRPr="00B90508">
              <w:rPr>
                <w:rFonts w:eastAsiaTheme="minorEastAsia"/>
                <w:sz w:val="18"/>
                <w:szCs w:val="18"/>
              </w:rPr>
              <w:t xml:space="preserve"> </w:t>
            </w:r>
          </w:p>
        </w:tc>
        <w:tc>
          <w:tcPr>
            <w:tcW w:w="1620" w:type="dxa"/>
            <w:shd w:val="clear" w:color="auto" w:fill="auto"/>
            <w:hideMark/>
          </w:tcPr>
          <w:p w14:paraId="0D7FEF1D"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USGS 1975-2014</w:t>
            </w:r>
          </w:p>
        </w:tc>
        <w:tc>
          <w:tcPr>
            <w:tcW w:w="5935" w:type="dxa"/>
            <w:shd w:val="clear" w:color="auto" w:fill="auto"/>
            <w:hideMark/>
          </w:tcPr>
          <w:p w14:paraId="0004DFC4"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No new targets at this time; reference existing local targets as available.</w:t>
            </w:r>
          </w:p>
        </w:tc>
      </w:tr>
      <w:tr w:rsidR="00B90508" w:rsidRPr="00B90508" w14:paraId="1303B699" w14:textId="77777777" w:rsidTr="00B90508">
        <w:trPr>
          <w:cantSplit/>
        </w:trPr>
        <w:tc>
          <w:tcPr>
            <w:tcW w:w="1345" w:type="dxa"/>
            <w:shd w:val="clear" w:color="auto" w:fill="auto"/>
            <w:hideMark/>
          </w:tcPr>
          <w:p w14:paraId="334A0023"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Benthic Index of Biotic Integrity (B-IBI)</w:t>
            </w:r>
          </w:p>
        </w:tc>
        <w:tc>
          <w:tcPr>
            <w:tcW w:w="4050" w:type="dxa"/>
            <w:shd w:val="clear" w:color="auto" w:fill="auto"/>
            <w:hideMark/>
          </w:tcPr>
          <w:p w14:paraId="38F41E8D"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Puget Sound Stream Benthos - Data Repository for macroinvertebrate data collected throughout Puget Sound region</w:t>
            </w:r>
            <w:r w:rsidRPr="00B90508">
              <w:rPr>
                <w:rFonts w:eastAsiaTheme="minorEastAsia"/>
                <w:sz w:val="18"/>
                <w:szCs w:val="18"/>
              </w:rPr>
              <w:br/>
            </w:r>
            <w:hyperlink r:id="rId75" w:history="1">
              <w:r w:rsidRPr="00B90508">
                <w:rPr>
                  <w:rFonts w:eastAsiaTheme="minorEastAsia"/>
                  <w:color w:val="2B5A8E"/>
                  <w:sz w:val="18"/>
                  <w:szCs w:val="18"/>
                  <w:u w:val="single"/>
                </w:rPr>
                <w:t>http://pugetsoundstreambenthos.org/Biotic-Integrity-Map.aspx</w:t>
              </w:r>
            </w:hyperlink>
            <w:r w:rsidRPr="00B90508">
              <w:rPr>
                <w:rFonts w:eastAsiaTheme="minorEastAsia"/>
                <w:sz w:val="18"/>
                <w:szCs w:val="18"/>
              </w:rPr>
              <w:t xml:space="preserve"> </w:t>
            </w:r>
          </w:p>
        </w:tc>
        <w:tc>
          <w:tcPr>
            <w:tcW w:w="1620" w:type="dxa"/>
            <w:shd w:val="clear" w:color="auto" w:fill="auto"/>
            <w:hideMark/>
          </w:tcPr>
          <w:p w14:paraId="0844C6EA"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2000-2011</w:t>
            </w:r>
          </w:p>
        </w:tc>
        <w:tc>
          <w:tcPr>
            <w:tcW w:w="5935" w:type="dxa"/>
            <w:shd w:val="clear" w:color="auto" w:fill="auto"/>
            <w:hideMark/>
          </w:tcPr>
          <w:p w14:paraId="518FC19E"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Not at this time</w:t>
            </w:r>
          </w:p>
        </w:tc>
      </w:tr>
      <w:tr w:rsidR="00B90508" w:rsidRPr="00B90508" w14:paraId="0CABD58F" w14:textId="77777777" w:rsidTr="00B90508">
        <w:trPr>
          <w:cantSplit/>
        </w:trPr>
        <w:tc>
          <w:tcPr>
            <w:tcW w:w="1345" w:type="dxa"/>
            <w:shd w:val="clear" w:color="auto" w:fill="auto"/>
            <w:hideMark/>
          </w:tcPr>
          <w:p w14:paraId="1080CA26"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Freshwater quality</w:t>
            </w:r>
          </w:p>
        </w:tc>
        <w:tc>
          <w:tcPr>
            <w:tcW w:w="4050" w:type="dxa"/>
            <w:shd w:val="clear" w:color="auto" w:fill="auto"/>
            <w:hideMark/>
          </w:tcPr>
          <w:p w14:paraId="37D7E0FB"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Statewide Water Quality Monitoring Network (Ecology)</w:t>
            </w:r>
            <w:r w:rsidRPr="00B90508">
              <w:rPr>
                <w:rFonts w:eastAsiaTheme="minorEastAsia"/>
                <w:sz w:val="18"/>
                <w:szCs w:val="18"/>
              </w:rPr>
              <w:br/>
            </w:r>
            <w:hyperlink r:id="rId76" w:history="1">
              <w:r w:rsidRPr="00B90508">
                <w:rPr>
                  <w:rFonts w:eastAsiaTheme="minorEastAsia"/>
                  <w:color w:val="2B5A8E"/>
                  <w:sz w:val="18"/>
                  <w:szCs w:val="18"/>
                  <w:u w:val="single"/>
                </w:rPr>
                <w:t>https://fortress.wa.gov/ecy/eap/riverwq/regions/state.asp</w:t>
              </w:r>
            </w:hyperlink>
            <w:r w:rsidRPr="00B90508">
              <w:rPr>
                <w:rFonts w:eastAsiaTheme="minorEastAsia"/>
                <w:sz w:val="18"/>
                <w:szCs w:val="18"/>
              </w:rPr>
              <w:t xml:space="preserve"> </w:t>
            </w:r>
            <w:r w:rsidRPr="00B90508">
              <w:rPr>
                <w:rFonts w:eastAsiaTheme="minorEastAsia"/>
                <w:sz w:val="18"/>
                <w:szCs w:val="18"/>
              </w:rPr>
              <w:br/>
            </w:r>
            <w:r w:rsidRPr="00B90508">
              <w:rPr>
                <w:rFonts w:eastAsiaTheme="minorEastAsia"/>
                <w:sz w:val="18"/>
                <w:szCs w:val="18"/>
              </w:rPr>
              <w:br/>
              <w:t xml:space="preserve">As summarized in Puget Sound Partnership Vital Signs Report </w:t>
            </w:r>
            <w:r w:rsidRPr="00B90508">
              <w:rPr>
                <w:rFonts w:eastAsiaTheme="minorEastAsia"/>
                <w:sz w:val="18"/>
                <w:szCs w:val="18"/>
              </w:rPr>
              <w:br/>
            </w:r>
            <w:hyperlink r:id="rId77" w:history="1">
              <w:r w:rsidRPr="00B90508">
                <w:rPr>
                  <w:rFonts w:eastAsiaTheme="minorEastAsia"/>
                  <w:color w:val="2B5A8E"/>
                  <w:sz w:val="18"/>
                  <w:szCs w:val="18"/>
                  <w:u w:val="single"/>
                </w:rPr>
                <w:t>https://pspwa.app.box.com/v/2015-sos-vitalsigns-report</w:t>
              </w:r>
            </w:hyperlink>
            <w:r w:rsidRPr="00B90508">
              <w:rPr>
                <w:rFonts w:eastAsiaTheme="minorEastAsia"/>
                <w:sz w:val="18"/>
                <w:szCs w:val="18"/>
              </w:rPr>
              <w:t xml:space="preserve"> </w:t>
            </w:r>
          </w:p>
        </w:tc>
        <w:tc>
          <w:tcPr>
            <w:tcW w:w="1620" w:type="dxa"/>
            <w:shd w:val="clear" w:color="auto" w:fill="auto"/>
            <w:hideMark/>
          </w:tcPr>
          <w:p w14:paraId="6FDEDA77"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2000 - 2013</w:t>
            </w:r>
          </w:p>
        </w:tc>
        <w:tc>
          <w:tcPr>
            <w:tcW w:w="5935" w:type="dxa"/>
            <w:shd w:val="clear" w:color="auto" w:fill="auto"/>
            <w:hideMark/>
          </w:tcPr>
          <w:p w14:paraId="53700CE7"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No new targets at this time, but reference existing local targets in County-led monitoring programs.</w:t>
            </w:r>
          </w:p>
        </w:tc>
      </w:tr>
      <w:tr w:rsidR="00B90508" w:rsidRPr="00B90508" w14:paraId="4163BD5C" w14:textId="77777777" w:rsidTr="00B90508">
        <w:trPr>
          <w:cantSplit/>
        </w:trPr>
        <w:tc>
          <w:tcPr>
            <w:tcW w:w="1345" w:type="dxa"/>
            <w:shd w:val="clear" w:color="auto" w:fill="auto"/>
            <w:hideMark/>
          </w:tcPr>
          <w:p w14:paraId="372C880C"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Land cover - Forest</w:t>
            </w:r>
            <w:r w:rsidRPr="00B90508">
              <w:rPr>
                <w:rFonts w:eastAsiaTheme="minorEastAsia"/>
                <w:sz w:val="18"/>
                <w:szCs w:val="18"/>
              </w:rPr>
              <w:br/>
              <w:t>Land cover - Impervious</w:t>
            </w:r>
          </w:p>
        </w:tc>
        <w:tc>
          <w:tcPr>
            <w:tcW w:w="4050" w:type="dxa"/>
            <w:shd w:val="clear" w:color="auto" w:fill="auto"/>
            <w:hideMark/>
          </w:tcPr>
          <w:p w14:paraId="426BF792"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 xml:space="preserve">NOAA Coastal Change Analysis Program (CCAP) 2011 </w:t>
            </w:r>
            <w:r w:rsidRPr="00B90508">
              <w:rPr>
                <w:rFonts w:eastAsiaTheme="minorEastAsia"/>
                <w:sz w:val="18"/>
                <w:szCs w:val="18"/>
              </w:rPr>
              <w:br/>
            </w:r>
            <w:hyperlink r:id="rId78" w:history="1">
              <w:r w:rsidRPr="00B90508">
                <w:rPr>
                  <w:rFonts w:eastAsiaTheme="minorEastAsia"/>
                  <w:color w:val="2B5A8E"/>
                  <w:sz w:val="18"/>
                  <w:szCs w:val="18"/>
                  <w:u w:val="single"/>
                </w:rPr>
                <w:t>https://coast.noaa.gov/dataregistry/search/dataset/29B19ED9-7564-4820-9947-937A40793204</w:t>
              </w:r>
            </w:hyperlink>
            <w:r w:rsidRPr="00B90508">
              <w:rPr>
                <w:rFonts w:eastAsiaTheme="minorEastAsia"/>
                <w:sz w:val="18"/>
                <w:szCs w:val="18"/>
              </w:rPr>
              <w:t xml:space="preserve"> </w:t>
            </w:r>
          </w:p>
        </w:tc>
        <w:tc>
          <w:tcPr>
            <w:tcW w:w="1620" w:type="dxa"/>
            <w:shd w:val="clear" w:color="auto" w:fill="auto"/>
            <w:hideMark/>
          </w:tcPr>
          <w:p w14:paraId="43057341"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Every 5 years from 1992-2011 (NOAA-funded program)</w:t>
            </w:r>
          </w:p>
        </w:tc>
        <w:tc>
          <w:tcPr>
            <w:tcW w:w="5935" w:type="dxa"/>
            <w:shd w:val="clear" w:color="auto" w:fill="auto"/>
            <w:hideMark/>
          </w:tcPr>
          <w:p w14:paraId="43236EF0"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FOREST: (1) Protect and maintain forest in all of the HUC 12 assessment units (below) that have currently have greater than 65% cover, (2) Restore forest cover to above 65% in the following HUC 12 assessment units: Burley Creek-Frontal in Carr Inlet and Cranberry Creek Frontal in Oakland Bay, (3) Restore forest cover to above 60% in the lower and middle Nisqually watershed (included units: Lower Nisqually, McAllister Creek, and Middle Nisqually).</w:t>
            </w:r>
            <w:r w:rsidRPr="00B90508">
              <w:rPr>
                <w:rFonts w:eastAsiaTheme="minorEastAsia"/>
                <w:sz w:val="18"/>
                <w:szCs w:val="18"/>
              </w:rPr>
              <w:br/>
            </w:r>
            <w:r w:rsidRPr="00B90508">
              <w:rPr>
                <w:rFonts w:eastAsiaTheme="minorEastAsia"/>
                <w:sz w:val="18"/>
                <w:szCs w:val="18"/>
              </w:rPr>
              <w:br/>
              <w:t>IMPERVIOUS: No new targets at this time, but reference existing effective impervious surface targets adopted at local levels (if available).</w:t>
            </w:r>
          </w:p>
        </w:tc>
      </w:tr>
      <w:tr w:rsidR="00B90508" w:rsidRPr="00B90508" w14:paraId="3F1EA38E" w14:textId="77777777" w:rsidTr="00B90508">
        <w:trPr>
          <w:cantSplit/>
        </w:trPr>
        <w:tc>
          <w:tcPr>
            <w:tcW w:w="1345" w:type="dxa"/>
            <w:shd w:val="clear" w:color="auto" w:fill="auto"/>
            <w:hideMark/>
          </w:tcPr>
          <w:p w14:paraId="2A6459E6"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Salmon presence and abundance (e.g., Chinook, coho, chum, steelhead)</w:t>
            </w:r>
          </w:p>
        </w:tc>
        <w:tc>
          <w:tcPr>
            <w:tcW w:w="4050" w:type="dxa"/>
            <w:shd w:val="clear" w:color="auto" w:fill="auto"/>
            <w:hideMark/>
          </w:tcPr>
          <w:p w14:paraId="66D9A079"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WDFW Statewide Washington Integrated Fish Distribution</w:t>
            </w:r>
            <w:r w:rsidRPr="00B90508">
              <w:rPr>
                <w:rFonts w:eastAsiaTheme="minorEastAsia"/>
                <w:sz w:val="18"/>
                <w:szCs w:val="18"/>
              </w:rPr>
              <w:br/>
            </w:r>
            <w:hyperlink r:id="rId79" w:history="1">
              <w:r w:rsidRPr="00B90508">
                <w:rPr>
                  <w:rFonts w:eastAsiaTheme="minorEastAsia"/>
                  <w:color w:val="2B5A8E"/>
                  <w:sz w:val="18"/>
                  <w:szCs w:val="18"/>
                  <w:u w:val="single"/>
                </w:rPr>
                <w:t>http://maps.nwifc.org/swifd/</w:t>
              </w:r>
            </w:hyperlink>
            <w:r w:rsidRPr="00B90508">
              <w:rPr>
                <w:rFonts w:eastAsiaTheme="minorEastAsia"/>
                <w:sz w:val="18"/>
                <w:szCs w:val="18"/>
              </w:rPr>
              <w:t xml:space="preserve">   </w:t>
            </w:r>
          </w:p>
        </w:tc>
        <w:tc>
          <w:tcPr>
            <w:tcW w:w="1620" w:type="dxa"/>
            <w:shd w:val="clear" w:color="auto" w:fill="auto"/>
            <w:hideMark/>
          </w:tcPr>
          <w:p w14:paraId="45EE2C94"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2016 - Annually</w:t>
            </w:r>
          </w:p>
        </w:tc>
        <w:tc>
          <w:tcPr>
            <w:tcW w:w="5935" w:type="dxa"/>
            <w:shd w:val="clear" w:color="auto" w:fill="auto"/>
            <w:hideMark/>
          </w:tcPr>
          <w:p w14:paraId="5D3115D0"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No new targets at this time; reference existing local targets in recovery plans.</w:t>
            </w:r>
          </w:p>
        </w:tc>
      </w:tr>
      <w:tr w:rsidR="00B90508" w:rsidRPr="00B90508" w14:paraId="50C3B7EA" w14:textId="77777777" w:rsidTr="00B90508">
        <w:trPr>
          <w:cantSplit/>
        </w:trPr>
        <w:tc>
          <w:tcPr>
            <w:tcW w:w="1345" w:type="dxa"/>
            <w:shd w:val="clear" w:color="auto" w:fill="auto"/>
            <w:hideMark/>
          </w:tcPr>
          <w:p w14:paraId="15755402"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lastRenderedPageBreak/>
              <w:t>Native prairie and oak woodlands</w:t>
            </w:r>
          </w:p>
        </w:tc>
        <w:tc>
          <w:tcPr>
            <w:tcW w:w="4050" w:type="dxa"/>
            <w:shd w:val="clear" w:color="auto" w:fill="auto"/>
            <w:hideMark/>
          </w:tcPr>
          <w:p w14:paraId="512486E6"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WDNR Natural Heritage Program (NHP) Oaks and Grasslands of the Puget Trough Ecoregion dataset</w:t>
            </w:r>
            <w:r w:rsidRPr="00B90508">
              <w:rPr>
                <w:rFonts w:eastAsiaTheme="minorEastAsia"/>
                <w:sz w:val="18"/>
                <w:szCs w:val="18"/>
              </w:rPr>
              <w:br/>
            </w:r>
            <w:hyperlink r:id="rId80" w:history="1">
              <w:r w:rsidRPr="00B90508">
                <w:rPr>
                  <w:rFonts w:eastAsiaTheme="minorEastAsia"/>
                  <w:color w:val="2B5A8E"/>
                  <w:sz w:val="18"/>
                  <w:szCs w:val="18"/>
                  <w:u w:val="single"/>
                </w:rPr>
                <w:t>http://www1.dnr.wa.gov/nhp/refdesk/gis/wnhpgis.html</w:t>
              </w:r>
            </w:hyperlink>
            <w:r w:rsidRPr="00B90508">
              <w:rPr>
                <w:rFonts w:eastAsiaTheme="minorEastAsia"/>
                <w:sz w:val="18"/>
                <w:szCs w:val="18"/>
              </w:rPr>
              <w:t xml:space="preserve"> </w:t>
            </w:r>
            <w:r w:rsidRPr="00B90508">
              <w:rPr>
                <w:rFonts w:eastAsiaTheme="minorEastAsia"/>
                <w:sz w:val="18"/>
                <w:szCs w:val="18"/>
              </w:rPr>
              <w:br/>
            </w:r>
            <w:r w:rsidRPr="00B90508">
              <w:rPr>
                <w:rFonts w:eastAsiaTheme="minorEastAsia"/>
                <w:sz w:val="18"/>
                <w:szCs w:val="18"/>
              </w:rPr>
              <w:br/>
              <w:t>USGS National Inventory of Protected Areas</w:t>
            </w:r>
            <w:r w:rsidRPr="00B90508">
              <w:rPr>
                <w:rFonts w:eastAsiaTheme="minorEastAsia"/>
                <w:sz w:val="18"/>
                <w:szCs w:val="18"/>
              </w:rPr>
              <w:br/>
            </w:r>
            <w:hyperlink r:id="rId81" w:history="1">
              <w:r w:rsidRPr="00B90508">
                <w:rPr>
                  <w:rFonts w:eastAsiaTheme="minorEastAsia"/>
                  <w:color w:val="2B5A8E"/>
                  <w:sz w:val="18"/>
                  <w:szCs w:val="18"/>
                  <w:u w:val="single"/>
                </w:rPr>
                <w:t>http://gapanalysis.usgs.gov/padus/</w:t>
              </w:r>
            </w:hyperlink>
            <w:r w:rsidRPr="00B90508">
              <w:rPr>
                <w:rFonts w:eastAsiaTheme="minorEastAsia"/>
                <w:sz w:val="18"/>
                <w:szCs w:val="18"/>
              </w:rPr>
              <w:t xml:space="preserve">  </w:t>
            </w:r>
          </w:p>
        </w:tc>
        <w:tc>
          <w:tcPr>
            <w:tcW w:w="1620" w:type="dxa"/>
            <w:shd w:val="clear" w:color="auto" w:fill="auto"/>
            <w:hideMark/>
          </w:tcPr>
          <w:p w14:paraId="01580BE9"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2005</w:t>
            </w:r>
          </w:p>
        </w:tc>
        <w:tc>
          <w:tcPr>
            <w:tcW w:w="5935" w:type="dxa"/>
            <w:shd w:val="clear" w:color="auto" w:fill="auto"/>
            <w:hideMark/>
          </w:tcPr>
          <w:p w14:paraId="29CDA1C4" w14:textId="77777777" w:rsidR="00B90508" w:rsidRPr="00B90508" w:rsidRDefault="00B90508" w:rsidP="00B90508">
            <w:pPr>
              <w:spacing w:after="0" w:line="240" w:lineRule="auto"/>
              <w:rPr>
                <w:rFonts w:eastAsiaTheme="minorEastAsia"/>
                <w:sz w:val="18"/>
                <w:szCs w:val="18"/>
              </w:rPr>
            </w:pPr>
            <w:r w:rsidRPr="00B90508">
              <w:rPr>
                <w:rFonts w:eastAsiaTheme="minorEastAsia"/>
                <w:sz w:val="18"/>
                <w:szCs w:val="18"/>
              </w:rPr>
              <w:t>No new local targets at this time. Coordinated and ongoing efforts will maintain 100% of all remaining prairie and oak woodlands (as classified by WDNR Heritage Program data), place lands in protected status, and work to restore historic extant areas as identified and prioritized in current management plans.</w:t>
            </w:r>
          </w:p>
        </w:tc>
      </w:tr>
    </w:tbl>
    <w:p w14:paraId="7F737DEF" w14:textId="77777777" w:rsidR="00B90508" w:rsidRPr="00B90508" w:rsidRDefault="00B90508" w:rsidP="00B90508">
      <w:pPr>
        <w:keepNext/>
        <w:spacing w:before="100" w:after="100" w:line="276" w:lineRule="auto"/>
        <w:jc w:val="center"/>
        <w:rPr>
          <w:rFonts w:ascii="Calibri" w:eastAsia="Calibri" w:hAnsi="Calibri" w:cs="Calibri"/>
          <w:b/>
          <w:sz w:val="18"/>
        </w:rPr>
      </w:pPr>
    </w:p>
    <w:p w14:paraId="0CB32DF7" w14:textId="77777777" w:rsidR="00B90508" w:rsidRPr="00B90508" w:rsidRDefault="00B90508" w:rsidP="00B90508">
      <w:pPr>
        <w:keepNext/>
        <w:spacing w:before="100" w:after="100" w:line="276" w:lineRule="auto"/>
        <w:jc w:val="center"/>
        <w:rPr>
          <w:rFonts w:ascii="Calibri" w:eastAsia="Calibri" w:hAnsi="Calibri" w:cs="Calibri"/>
          <w:b/>
          <w:sz w:val="18"/>
        </w:rPr>
        <w:sectPr w:rsidR="00B90508" w:rsidRPr="00B90508" w:rsidSect="00B90508">
          <w:pgSz w:w="15840" w:h="12240" w:orient="landscape"/>
          <w:pgMar w:top="1440" w:right="1440" w:bottom="1440" w:left="1440" w:header="720" w:footer="720" w:gutter="0"/>
          <w:cols w:space="720"/>
          <w:docGrid w:linePitch="299"/>
        </w:sectPr>
      </w:pPr>
    </w:p>
    <w:p w14:paraId="50F7252F"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229" w:name="_u61b45a4ibkt" w:colFirst="0" w:colLast="0"/>
      <w:bookmarkStart w:id="230" w:name="_Toc463000002"/>
      <w:bookmarkEnd w:id="229"/>
      <w:r w:rsidRPr="00B90508">
        <w:rPr>
          <w:rFonts w:eastAsiaTheme="majorEastAsia" w:cstheme="minorHAnsi"/>
          <w:b/>
          <w:color w:val="FFFFFF" w:themeColor="background1"/>
          <w:sz w:val="36"/>
          <w:szCs w:val="36"/>
        </w:rPr>
        <w:lastRenderedPageBreak/>
        <w:t xml:space="preserve">Protection and Restoration of Prairies and Oak </w:t>
      </w:r>
      <w:r w:rsidRPr="00B90508">
        <w:rPr>
          <w:rFonts w:eastAsiaTheme="majorEastAsia" w:cstheme="minorHAnsi"/>
          <w:b/>
          <w:color w:val="FFFFFF" w:themeColor="background1"/>
          <w:sz w:val="36"/>
          <w:szCs w:val="36"/>
        </w:rPr>
        <w:br/>
        <w:t>Woodlands</w:t>
      </w:r>
      <w:bookmarkEnd w:id="230"/>
    </w:p>
    <w:p w14:paraId="345A6EB7" w14:textId="77777777" w:rsidR="00B90508" w:rsidRPr="00B90508" w:rsidRDefault="00B90508" w:rsidP="00B90508">
      <w:pPr>
        <w:keepNext/>
        <w:keepLines/>
        <w:spacing w:before="240" w:after="120" w:line="240" w:lineRule="auto"/>
        <w:outlineLvl w:val="1"/>
        <w:rPr>
          <w:rFonts w:asciiTheme="majorHAnsi" w:eastAsiaTheme="majorEastAsia" w:hAnsiTheme="majorHAnsi" w:cstheme="majorBidi"/>
          <w:color w:val="2B5A8E"/>
          <w:sz w:val="32"/>
          <w:szCs w:val="32"/>
          <w:u w:color="33CC33"/>
        </w:rPr>
      </w:pPr>
      <w:bookmarkStart w:id="231" w:name="_64qwo5hidtcc" w:colFirst="0" w:colLast="0"/>
      <w:bookmarkStart w:id="232" w:name="_Toc463000003"/>
      <w:bookmarkEnd w:id="231"/>
      <w:r w:rsidRPr="00B90508">
        <w:rPr>
          <w:rFonts w:asciiTheme="majorHAnsi" w:eastAsiaTheme="majorEastAsia" w:hAnsiTheme="majorHAnsi" w:cstheme="majorBidi"/>
          <w:color w:val="2B5A8E"/>
          <w:sz w:val="32"/>
          <w:szCs w:val="32"/>
          <w:u w:color="33CC33"/>
        </w:rPr>
        <w:t>Background</w:t>
      </w:r>
      <w:bookmarkEnd w:id="232"/>
    </w:p>
    <w:p w14:paraId="0C5638E0" w14:textId="77777777" w:rsidR="00B90508" w:rsidRPr="00B90508" w:rsidRDefault="00B90508" w:rsidP="00B90508">
      <w:pPr>
        <w:spacing w:line="276" w:lineRule="auto"/>
        <w:rPr>
          <w:rFonts w:eastAsiaTheme="minorEastAsia"/>
        </w:rPr>
      </w:pPr>
      <w:r w:rsidRPr="00B90508">
        <w:rPr>
          <w:rFonts w:ascii="Calibri" w:eastAsia="Calibri" w:hAnsi="Calibri" w:cs="Calibri"/>
        </w:rPr>
        <w:t>South Sound is unique in the Puget Sound Region as the historic and only remaining location for native prairies and oak woodlands. South Sound native prairies support an array of plant and animal species, including several endangered species Taylor’s checkerspot butterfly, mardon skipper, streaked horned lark, Western gray squirrel, and Mazama pocket gopher. According to the Center for Natural Lands Management, 150,000 acres of prairie landscape and habitat has been reduced by 90%, with only 3% of that remaining as pristine prairie. Oak woodlands are dominated by Oregon white oak, the only oak species native to Washington, and also contribute to the South Sound's rich biological diversity by providing feeding, breeding, resting and sheltering habitat for more than 200 species of birds, mammals, reptiles, and amphibians.</w:t>
      </w:r>
    </w:p>
    <w:p w14:paraId="62D0AD68" w14:textId="77777777" w:rsidR="00B90508" w:rsidRPr="00B90508" w:rsidRDefault="00B90508" w:rsidP="00B90508">
      <w:pPr>
        <w:spacing w:line="276" w:lineRule="auto"/>
        <w:rPr>
          <w:rFonts w:eastAsiaTheme="minorEastAsia"/>
        </w:rPr>
      </w:pPr>
      <w:r w:rsidRPr="00B90508">
        <w:rPr>
          <w:rFonts w:eastAsia="Calibri"/>
        </w:rPr>
        <w:t>Key threats to remaining native prairie and oak woodland include:</w:t>
      </w:r>
    </w:p>
    <w:p w14:paraId="7A996C48" w14:textId="77777777" w:rsidR="00B90508" w:rsidRPr="00B90508" w:rsidRDefault="00B90508" w:rsidP="00B90508">
      <w:pPr>
        <w:numPr>
          <w:ilvl w:val="0"/>
          <w:numId w:val="40"/>
        </w:numPr>
        <w:spacing w:line="276" w:lineRule="auto"/>
        <w:contextualSpacing/>
        <w:rPr>
          <w:rFonts w:eastAsiaTheme="minorEastAsia"/>
        </w:rPr>
      </w:pPr>
      <w:r w:rsidRPr="00B90508">
        <w:rPr>
          <w:rFonts w:ascii="Calibri" w:eastAsia="Calibri" w:hAnsi="Calibri" w:cs="Calibri"/>
        </w:rPr>
        <w:t>Conversion of land from prairie or oak woodland to agriculture or urban and suburban development</w:t>
      </w:r>
    </w:p>
    <w:p w14:paraId="6ADC0FDF" w14:textId="77777777" w:rsidR="00B90508" w:rsidRPr="00B90508" w:rsidRDefault="00B90508" w:rsidP="00B90508">
      <w:pPr>
        <w:numPr>
          <w:ilvl w:val="0"/>
          <w:numId w:val="40"/>
        </w:numPr>
        <w:spacing w:line="276" w:lineRule="auto"/>
        <w:contextualSpacing/>
        <w:rPr>
          <w:rFonts w:eastAsiaTheme="minorEastAsia"/>
        </w:rPr>
      </w:pPr>
      <w:r w:rsidRPr="00B90508">
        <w:rPr>
          <w:rFonts w:ascii="Calibri" w:eastAsia="Calibri" w:hAnsi="Calibri" w:cs="Calibri"/>
        </w:rPr>
        <w:t>Lack of natural disturbance</w:t>
      </w:r>
    </w:p>
    <w:p w14:paraId="1759D8D2" w14:textId="77777777" w:rsidR="00B90508" w:rsidRPr="00B90508" w:rsidRDefault="00B90508" w:rsidP="00B90508">
      <w:pPr>
        <w:numPr>
          <w:ilvl w:val="0"/>
          <w:numId w:val="40"/>
        </w:numPr>
        <w:spacing w:line="276" w:lineRule="auto"/>
        <w:contextualSpacing/>
        <w:rPr>
          <w:rFonts w:eastAsiaTheme="minorEastAsia"/>
        </w:rPr>
      </w:pPr>
      <w:r w:rsidRPr="00B90508">
        <w:rPr>
          <w:rFonts w:ascii="Calibri" w:eastAsia="Calibri" w:hAnsi="Calibri" w:cs="Calibri"/>
        </w:rPr>
        <w:t>Spread of invasive species and weeds</w:t>
      </w:r>
    </w:p>
    <w:p w14:paraId="6CDFBF09" w14:textId="77777777" w:rsidR="00B90508" w:rsidRPr="00B90508" w:rsidRDefault="00B90508" w:rsidP="00B90508">
      <w:pPr>
        <w:numPr>
          <w:ilvl w:val="0"/>
          <w:numId w:val="40"/>
        </w:numPr>
        <w:spacing w:line="276" w:lineRule="auto"/>
        <w:contextualSpacing/>
        <w:rPr>
          <w:rFonts w:eastAsiaTheme="minorEastAsia"/>
        </w:rPr>
      </w:pPr>
      <w:r w:rsidRPr="00B90508">
        <w:rPr>
          <w:rFonts w:ascii="Calibri" w:eastAsia="Calibri" w:hAnsi="Calibri" w:cs="Calibri"/>
        </w:rPr>
        <w:t>Overgrazing</w:t>
      </w:r>
    </w:p>
    <w:p w14:paraId="5EB0B8CC" w14:textId="77777777" w:rsidR="00B90508" w:rsidRPr="00B90508" w:rsidRDefault="00B90508" w:rsidP="00DB2B36">
      <w:pPr>
        <w:numPr>
          <w:ilvl w:val="0"/>
          <w:numId w:val="30"/>
        </w:numPr>
        <w:spacing w:line="276" w:lineRule="auto"/>
        <w:rPr>
          <w:rFonts w:eastAsiaTheme="minorEastAsia"/>
        </w:rPr>
      </w:pPr>
      <w:r w:rsidRPr="00DB2B36">
        <w:rPr>
          <w:rFonts w:eastAsiaTheme="minorEastAsia"/>
        </w:rPr>
        <w:t>Habitat</w:t>
      </w:r>
      <w:r w:rsidRPr="00B90508">
        <w:rPr>
          <w:rFonts w:ascii="Calibri" w:eastAsia="Calibri" w:hAnsi="Calibri" w:cs="Calibri"/>
        </w:rPr>
        <w:t xml:space="preserve"> fragmentation</w:t>
      </w:r>
    </w:p>
    <w:p w14:paraId="3CAE661E"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33" w:name="_pye7oj89o8es" w:colFirst="0" w:colLast="0"/>
      <w:bookmarkStart w:id="234" w:name="_Toc463000004"/>
      <w:bookmarkEnd w:id="233"/>
      <w:r w:rsidRPr="00B90508">
        <w:rPr>
          <w:rFonts w:asciiTheme="majorHAnsi" w:eastAsiaTheme="majorEastAsia" w:hAnsiTheme="majorHAnsi" w:cstheme="majorBidi"/>
          <w:color w:val="2B5A8E"/>
          <w:sz w:val="32"/>
          <w:szCs w:val="32"/>
          <w:u w:color="33CC33"/>
        </w:rPr>
        <w:t>Baseline and Status</w:t>
      </w:r>
      <w:bookmarkEnd w:id="234"/>
    </w:p>
    <w:p w14:paraId="099057FB" w14:textId="77777777" w:rsidR="00B90508" w:rsidRPr="00B90508" w:rsidRDefault="00B90508" w:rsidP="00B90508">
      <w:pPr>
        <w:spacing w:line="276" w:lineRule="auto"/>
        <w:rPr>
          <w:rFonts w:eastAsiaTheme="minorEastAsia"/>
        </w:rPr>
      </w:pPr>
      <w:r w:rsidRPr="00B90508">
        <w:rPr>
          <w:rFonts w:ascii="Calibri" w:eastAsia="Calibri" w:hAnsi="Calibri" w:cs="Calibri"/>
        </w:rPr>
        <w:t xml:space="preserve">The conversion of land is a particular threat for prairie and oak woodlands which occur at lower elevations and are often near centers of urban and suburban growth. In just Thurston County between 1992 and 2011, large-scale changes detectable from satellite imagery indicated that approximately 11,518 acres were changed into low, medium, or high-density developed land cover, and approximately 42,152 acres of land were converted from forest stands to non-forest vegetation or high, medium, or low-density development </w:t>
      </w:r>
      <w:r w:rsidRPr="00B90508">
        <w:rPr>
          <w:rFonts w:eastAsiaTheme="minorEastAsia"/>
        </w:rPr>
        <w:t>(</w:t>
      </w:r>
      <w:hyperlink r:id="rId82">
        <w:r w:rsidRPr="00B90508">
          <w:rPr>
            <w:rFonts w:eastAsiaTheme="minorEastAsia"/>
            <w:color w:val="2B5A8E"/>
            <w:u w:val="single"/>
          </w:rPr>
          <w:t>link</w:t>
        </w:r>
      </w:hyperlink>
      <w:r w:rsidRPr="00B90508">
        <w:rPr>
          <w:rFonts w:eastAsiaTheme="minorEastAsia"/>
        </w:rPr>
        <w:t>)</w:t>
      </w:r>
      <w:r w:rsidRPr="00B90508">
        <w:rPr>
          <w:rFonts w:ascii="Calibri" w:eastAsia="Calibri" w:hAnsi="Calibri" w:cs="Calibri"/>
        </w:rPr>
        <w:t xml:space="preserve">. Another threat to prairie and oak woodlands is the suppression of natural disturbance. Historically, periodic low-intensity fires maintained these areas as grasslands and were a vital component of prairie ecology. Long-term fire suppression has resulted in to conifer tree invasion as well as invasion of nonnative plant species. Thirdly, some prairie habitats have simply been lost to overgrazing and replacement by other, more quickly regenerating plant species. In fact, the spread of invasive vegetation is considered a primary cause of prairie habitat loss. As aggressive grass and shrub species (such as Scot’s broom and tall oatgrass) crowd out native species, the habitat becomes unsuitable for prairie plants and associated wildlife. </w:t>
      </w:r>
    </w:p>
    <w:p w14:paraId="018BEBD0" w14:textId="77777777" w:rsidR="00B90508" w:rsidRPr="00B90508" w:rsidRDefault="00B90508" w:rsidP="00B90508">
      <w:pPr>
        <w:spacing w:line="276" w:lineRule="auto"/>
        <w:rPr>
          <w:rFonts w:eastAsiaTheme="minorEastAsia"/>
        </w:rPr>
      </w:pPr>
      <w:r w:rsidRPr="00B90508">
        <w:rPr>
          <w:rFonts w:ascii="Calibri" w:eastAsia="Calibri" w:hAnsi="Calibri" w:cs="Calibri"/>
        </w:rPr>
        <w:t xml:space="preserve">The Alliance identified two attributes to help understand prairie and oak woodland habitats in the South Sound. Both attributes focus on the presence and extent of these habitats (i.e., where do prairies and </w:t>
      </w:r>
      <w:r w:rsidRPr="00B90508">
        <w:rPr>
          <w:rFonts w:ascii="Calibri" w:eastAsia="Calibri" w:hAnsi="Calibri" w:cs="Calibri"/>
        </w:rPr>
        <w:lastRenderedPageBreak/>
        <w:t xml:space="preserve">oak woodlands occur and how much is there?) and were chosen to provide a measure of baseline conditions from which to track progress toward protection goals. The Washington Department of Natural Resources (WNDR) Natural Heritage Program has mapped prairie/grassland habitats and oak woodlands in Washington state. The map below shows the location of these habitats. </w:t>
      </w:r>
    </w:p>
    <w:p w14:paraId="6FE243CE" w14:textId="77777777" w:rsidR="00B90508" w:rsidRPr="00B90508" w:rsidRDefault="00B90508" w:rsidP="00B90508">
      <w:pPr>
        <w:spacing w:line="276" w:lineRule="auto"/>
        <w:rPr>
          <w:rFonts w:eastAsiaTheme="minorEastAsia"/>
        </w:rPr>
      </w:pPr>
      <w:r w:rsidRPr="00B90508">
        <w:rPr>
          <w:rFonts w:eastAsia="Calibri"/>
        </w:rPr>
        <w:t>Two of the largest intact prairie and oak woodland habitats, Mima Mounds Natural Area Preserve and the Scatter Creek Wildlife Area, occur outside of the South Sound boundary in Thurston County. Both include large amounts of habitat protected and managed by the state.</w:t>
      </w:r>
    </w:p>
    <w:p w14:paraId="56502D59" w14:textId="77777777" w:rsidR="00B90508" w:rsidRPr="00B90508" w:rsidRDefault="00B90508" w:rsidP="00B90508">
      <w:pPr>
        <w:spacing w:line="276" w:lineRule="auto"/>
        <w:jc w:val="center"/>
        <w:rPr>
          <w:rFonts w:eastAsiaTheme="minorEastAsia"/>
        </w:rPr>
      </w:pPr>
      <w:r w:rsidRPr="00B90508">
        <w:rPr>
          <w:rFonts w:eastAsiaTheme="minorEastAsia"/>
          <w:noProof/>
        </w:rPr>
        <w:drawing>
          <wp:inline distT="114300" distB="114300" distL="114300" distR="114300" wp14:anchorId="2AB9014A" wp14:editId="16732DCE">
            <wp:extent cx="5943600" cy="4699000"/>
            <wp:effectExtent l="12700" t="12700" r="12700" b="12700"/>
            <wp:docPr id="203"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83"/>
                    <a:srcRect/>
                    <a:stretch>
                      <a:fillRect/>
                    </a:stretch>
                  </pic:blipFill>
                  <pic:spPr>
                    <a:xfrm>
                      <a:off x="0" y="0"/>
                      <a:ext cx="5943600" cy="4699000"/>
                    </a:xfrm>
                    <a:prstGeom prst="rect">
                      <a:avLst/>
                    </a:prstGeom>
                    <a:ln w="12700">
                      <a:solidFill>
                        <a:srgbClr val="000000"/>
                      </a:solidFill>
                      <a:prstDash val="solid"/>
                    </a:ln>
                  </pic:spPr>
                </pic:pic>
              </a:graphicData>
            </a:graphic>
          </wp:inline>
        </w:drawing>
      </w:r>
    </w:p>
    <w:p w14:paraId="5CE889EB"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Figure X. Prairie/Grasslands and Oak Woodlands in Puget Lowlands (Washington Department of Natural Resources, </w:t>
      </w:r>
      <w:r w:rsidRPr="00B90508">
        <w:rPr>
          <w:rFonts w:ascii="Calibri" w:eastAsia="Calibri" w:hAnsi="Calibri" w:cs="Calibri"/>
          <w:b/>
          <w:sz w:val="18"/>
        </w:rPr>
        <w:br/>
        <w:t>Natural Heritage Program)</w:t>
      </w:r>
    </w:p>
    <w:p w14:paraId="5FFFED5D" w14:textId="77777777" w:rsidR="00B90508" w:rsidRPr="00B90508" w:rsidRDefault="00B90508" w:rsidP="00B90508">
      <w:pPr>
        <w:spacing w:line="276" w:lineRule="auto"/>
        <w:rPr>
          <w:rFonts w:eastAsiaTheme="minorEastAsia"/>
        </w:rPr>
      </w:pPr>
      <w:r w:rsidRPr="00B90508">
        <w:rPr>
          <w:rFonts w:ascii="Calibri" w:eastAsia="Calibri" w:hAnsi="Calibri" w:cs="Calibri"/>
        </w:rPr>
        <w:t xml:space="preserve">According to the WDNR Natural Heritage Program, there are only about 16,000 acres of native prairie habitat remaining in the South Sound. Approximately 14,300 acres (90%) occur on lands protected and managed by federal and state agencies and non-governmental organizations. Prairie habitats are generally concentrated in a few locations in the lower and middle watersheds of the Deschutes and Nisqually rivers, with the majority present inside the Joint Base Lewis-McChord. The Chambers-Clover </w:t>
      </w:r>
      <w:r w:rsidRPr="00B90508">
        <w:rPr>
          <w:rFonts w:ascii="Calibri" w:eastAsia="Calibri" w:hAnsi="Calibri" w:cs="Calibri"/>
        </w:rPr>
        <w:lastRenderedPageBreak/>
        <w:t>watershed contains nearly 2,000 acres of prairie and 97% is in some type of protected status. The greatest amount occurs within the Nisqually watershed (11,606 acres) with 95% in protected status.</w:t>
      </w:r>
    </w:p>
    <w:p w14:paraId="7841DF53"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t>Table X. Prairie/Grassland Habitat in Protected Status by Assessment Unit</w:t>
      </w:r>
    </w:p>
    <w:tbl>
      <w:tblPr>
        <w:tblStyle w:val="TableGrid1"/>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3415"/>
        <w:gridCol w:w="2441"/>
        <w:gridCol w:w="2149"/>
        <w:gridCol w:w="1345"/>
      </w:tblGrid>
      <w:tr w:rsidR="00B90508" w:rsidRPr="00B90508" w14:paraId="528D63A7" w14:textId="77777777" w:rsidTr="00B90508">
        <w:tc>
          <w:tcPr>
            <w:tcW w:w="3415" w:type="dxa"/>
            <w:shd w:val="clear" w:color="auto" w:fill="D9D9D9" w:themeFill="background1" w:themeFillShade="D9"/>
            <w:vAlign w:val="center"/>
          </w:tcPr>
          <w:p w14:paraId="12216B7E" w14:textId="77777777" w:rsidR="00B90508" w:rsidRPr="00B90508" w:rsidRDefault="00B90508" w:rsidP="00B90508">
            <w:pPr>
              <w:jc w:val="center"/>
              <w:rPr>
                <w:b/>
                <w:sz w:val="20"/>
                <w:szCs w:val="20"/>
              </w:rPr>
            </w:pPr>
            <w:r w:rsidRPr="00B90508">
              <w:rPr>
                <w:b/>
                <w:sz w:val="20"/>
                <w:szCs w:val="20"/>
              </w:rPr>
              <w:t>Assessment Unit</w:t>
            </w:r>
          </w:p>
        </w:tc>
        <w:tc>
          <w:tcPr>
            <w:tcW w:w="2441" w:type="dxa"/>
            <w:shd w:val="clear" w:color="auto" w:fill="D9D9D9" w:themeFill="background1" w:themeFillShade="D9"/>
            <w:vAlign w:val="center"/>
          </w:tcPr>
          <w:p w14:paraId="27256976" w14:textId="77777777" w:rsidR="00B90508" w:rsidRPr="00B90508" w:rsidRDefault="00B90508" w:rsidP="00B90508">
            <w:pPr>
              <w:jc w:val="center"/>
              <w:rPr>
                <w:b/>
                <w:sz w:val="20"/>
                <w:szCs w:val="20"/>
              </w:rPr>
            </w:pPr>
            <w:r w:rsidRPr="00B90508">
              <w:rPr>
                <w:b/>
                <w:sz w:val="20"/>
                <w:szCs w:val="20"/>
              </w:rPr>
              <w:t>Native Prairie/</w:t>
            </w:r>
            <w:r w:rsidRPr="00B90508">
              <w:rPr>
                <w:b/>
                <w:sz w:val="20"/>
                <w:szCs w:val="20"/>
              </w:rPr>
              <w:br/>
              <w:t>Grassland (Acres)</w:t>
            </w:r>
          </w:p>
        </w:tc>
        <w:tc>
          <w:tcPr>
            <w:tcW w:w="2149" w:type="dxa"/>
            <w:shd w:val="clear" w:color="auto" w:fill="D9D9D9" w:themeFill="background1" w:themeFillShade="D9"/>
            <w:vAlign w:val="center"/>
          </w:tcPr>
          <w:p w14:paraId="614B9F8B" w14:textId="77777777" w:rsidR="00B90508" w:rsidRPr="00B90508" w:rsidRDefault="00B90508" w:rsidP="00B90508">
            <w:pPr>
              <w:jc w:val="center"/>
              <w:rPr>
                <w:b/>
                <w:sz w:val="20"/>
                <w:szCs w:val="20"/>
              </w:rPr>
            </w:pPr>
            <w:r w:rsidRPr="00B90508">
              <w:rPr>
                <w:b/>
                <w:sz w:val="20"/>
                <w:szCs w:val="20"/>
              </w:rPr>
              <w:t>Amount in Protected Status (Acres)</w:t>
            </w:r>
          </w:p>
        </w:tc>
        <w:tc>
          <w:tcPr>
            <w:tcW w:w="1345" w:type="dxa"/>
            <w:shd w:val="clear" w:color="auto" w:fill="D9D9D9" w:themeFill="background1" w:themeFillShade="D9"/>
            <w:vAlign w:val="center"/>
          </w:tcPr>
          <w:p w14:paraId="2D3482DF" w14:textId="77777777" w:rsidR="00B90508" w:rsidRPr="00B90508" w:rsidRDefault="00B90508" w:rsidP="00B90508">
            <w:pPr>
              <w:jc w:val="center"/>
              <w:rPr>
                <w:b/>
                <w:sz w:val="20"/>
                <w:szCs w:val="20"/>
              </w:rPr>
            </w:pPr>
            <w:r w:rsidRPr="00B90508">
              <w:rPr>
                <w:b/>
                <w:sz w:val="20"/>
                <w:szCs w:val="20"/>
              </w:rPr>
              <w:t>% Protected</w:t>
            </w:r>
          </w:p>
        </w:tc>
      </w:tr>
      <w:tr w:rsidR="00B90508" w:rsidRPr="00B90508" w14:paraId="1CAD9DCA" w14:textId="77777777" w:rsidTr="00B90508">
        <w:tc>
          <w:tcPr>
            <w:tcW w:w="3415" w:type="dxa"/>
          </w:tcPr>
          <w:p w14:paraId="1534D1D1" w14:textId="77777777" w:rsidR="00B90508" w:rsidRPr="00B90508" w:rsidRDefault="00B90508" w:rsidP="00B90508">
            <w:pPr>
              <w:rPr>
                <w:sz w:val="20"/>
                <w:szCs w:val="20"/>
              </w:rPr>
            </w:pPr>
            <w:r w:rsidRPr="00B90508">
              <w:rPr>
                <w:sz w:val="20"/>
                <w:szCs w:val="20"/>
              </w:rPr>
              <w:t>Chambers Clover</w:t>
            </w:r>
          </w:p>
        </w:tc>
        <w:tc>
          <w:tcPr>
            <w:tcW w:w="2441" w:type="dxa"/>
          </w:tcPr>
          <w:p w14:paraId="2661F1BB" w14:textId="77777777" w:rsidR="00B90508" w:rsidRPr="00B90508" w:rsidRDefault="00B90508" w:rsidP="00B90508">
            <w:pPr>
              <w:rPr>
                <w:sz w:val="20"/>
                <w:szCs w:val="20"/>
              </w:rPr>
            </w:pPr>
            <w:r w:rsidRPr="00B90508">
              <w:rPr>
                <w:sz w:val="20"/>
                <w:szCs w:val="20"/>
              </w:rPr>
              <w:t>1,930</w:t>
            </w:r>
          </w:p>
        </w:tc>
        <w:tc>
          <w:tcPr>
            <w:tcW w:w="2149" w:type="dxa"/>
          </w:tcPr>
          <w:p w14:paraId="16834C42" w14:textId="77777777" w:rsidR="00B90508" w:rsidRPr="00B90508" w:rsidRDefault="00B90508" w:rsidP="00B90508">
            <w:pPr>
              <w:rPr>
                <w:sz w:val="20"/>
                <w:szCs w:val="20"/>
              </w:rPr>
            </w:pPr>
            <w:r w:rsidRPr="00B90508">
              <w:rPr>
                <w:sz w:val="20"/>
                <w:szCs w:val="20"/>
              </w:rPr>
              <w:t>1,868</w:t>
            </w:r>
          </w:p>
        </w:tc>
        <w:tc>
          <w:tcPr>
            <w:tcW w:w="1345" w:type="dxa"/>
          </w:tcPr>
          <w:p w14:paraId="461131BB" w14:textId="77777777" w:rsidR="00B90508" w:rsidRPr="00B90508" w:rsidRDefault="00B90508" w:rsidP="00B90508">
            <w:pPr>
              <w:rPr>
                <w:sz w:val="20"/>
                <w:szCs w:val="20"/>
              </w:rPr>
            </w:pPr>
            <w:r w:rsidRPr="00B90508">
              <w:rPr>
                <w:sz w:val="20"/>
                <w:szCs w:val="20"/>
              </w:rPr>
              <w:t>97%</w:t>
            </w:r>
          </w:p>
        </w:tc>
      </w:tr>
      <w:tr w:rsidR="00B90508" w:rsidRPr="00B90508" w14:paraId="19B60B06" w14:textId="77777777" w:rsidTr="00B90508">
        <w:tc>
          <w:tcPr>
            <w:tcW w:w="3415" w:type="dxa"/>
          </w:tcPr>
          <w:p w14:paraId="4B8B1377" w14:textId="77777777" w:rsidR="00B90508" w:rsidRPr="00B90508" w:rsidRDefault="00B90508" w:rsidP="00B90508">
            <w:pPr>
              <w:rPr>
                <w:sz w:val="20"/>
                <w:szCs w:val="20"/>
              </w:rPr>
            </w:pPr>
            <w:r w:rsidRPr="00B90508">
              <w:rPr>
                <w:sz w:val="20"/>
                <w:szCs w:val="20"/>
              </w:rPr>
              <w:t>Deschutes</w:t>
            </w:r>
          </w:p>
        </w:tc>
        <w:tc>
          <w:tcPr>
            <w:tcW w:w="2441" w:type="dxa"/>
          </w:tcPr>
          <w:p w14:paraId="3176A834" w14:textId="77777777" w:rsidR="00B90508" w:rsidRPr="00B90508" w:rsidRDefault="00B90508" w:rsidP="00B90508">
            <w:pPr>
              <w:rPr>
                <w:sz w:val="20"/>
                <w:szCs w:val="20"/>
              </w:rPr>
            </w:pPr>
            <w:r w:rsidRPr="00B90508">
              <w:rPr>
                <w:sz w:val="20"/>
                <w:szCs w:val="20"/>
              </w:rPr>
              <w:t>2,136</w:t>
            </w:r>
          </w:p>
        </w:tc>
        <w:tc>
          <w:tcPr>
            <w:tcW w:w="2149" w:type="dxa"/>
          </w:tcPr>
          <w:p w14:paraId="301FA2EA" w14:textId="77777777" w:rsidR="00B90508" w:rsidRPr="00B90508" w:rsidRDefault="00B90508" w:rsidP="00B90508">
            <w:pPr>
              <w:rPr>
                <w:sz w:val="20"/>
                <w:szCs w:val="20"/>
              </w:rPr>
            </w:pPr>
            <w:r w:rsidRPr="00B90508">
              <w:rPr>
                <w:sz w:val="20"/>
                <w:szCs w:val="20"/>
              </w:rPr>
              <w:t>1,328</w:t>
            </w:r>
          </w:p>
        </w:tc>
        <w:tc>
          <w:tcPr>
            <w:tcW w:w="1345" w:type="dxa"/>
          </w:tcPr>
          <w:p w14:paraId="48B9C48C" w14:textId="77777777" w:rsidR="00B90508" w:rsidRPr="00B90508" w:rsidRDefault="00B90508" w:rsidP="00B90508">
            <w:pPr>
              <w:rPr>
                <w:sz w:val="20"/>
                <w:szCs w:val="20"/>
              </w:rPr>
            </w:pPr>
            <w:r w:rsidRPr="00B90508">
              <w:rPr>
                <w:sz w:val="20"/>
                <w:szCs w:val="20"/>
              </w:rPr>
              <w:t>62%</w:t>
            </w:r>
          </w:p>
        </w:tc>
      </w:tr>
      <w:tr w:rsidR="00B90508" w:rsidRPr="00B90508" w14:paraId="7A5190D1" w14:textId="77777777" w:rsidTr="00B90508">
        <w:tc>
          <w:tcPr>
            <w:tcW w:w="3415" w:type="dxa"/>
          </w:tcPr>
          <w:p w14:paraId="77D1A8B0" w14:textId="77777777" w:rsidR="00B90508" w:rsidRPr="00B90508" w:rsidRDefault="00B90508" w:rsidP="00B90508">
            <w:pPr>
              <w:rPr>
                <w:sz w:val="20"/>
                <w:szCs w:val="20"/>
              </w:rPr>
            </w:pPr>
            <w:r w:rsidRPr="00B90508">
              <w:rPr>
                <w:sz w:val="20"/>
                <w:szCs w:val="20"/>
              </w:rPr>
              <w:t>Hammersley Inlet &amp; Oakland Bay</w:t>
            </w:r>
          </w:p>
        </w:tc>
        <w:tc>
          <w:tcPr>
            <w:tcW w:w="2441" w:type="dxa"/>
          </w:tcPr>
          <w:p w14:paraId="41415B07" w14:textId="77777777" w:rsidR="00B90508" w:rsidRPr="00B90508" w:rsidRDefault="00B90508" w:rsidP="00B90508">
            <w:pPr>
              <w:rPr>
                <w:sz w:val="20"/>
                <w:szCs w:val="20"/>
              </w:rPr>
            </w:pPr>
            <w:r w:rsidRPr="00B90508">
              <w:rPr>
                <w:sz w:val="20"/>
                <w:szCs w:val="20"/>
              </w:rPr>
              <w:t>272</w:t>
            </w:r>
          </w:p>
        </w:tc>
        <w:tc>
          <w:tcPr>
            <w:tcW w:w="2149" w:type="dxa"/>
          </w:tcPr>
          <w:p w14:paraId="034DF563" w14:textId="77777777" w:rsidR="00B90508" w:rsidRPr="00B90508" w:rsidRDefault="00B90508" w:rsidP="00B90508">
            <w:pPr>
              <w:rPr>
                <w:sz w:val="20"/>
                <w:szCs w:val="20"/>
              </w:rPr>
            </w:pPr>
            <w:r w:rsidRPr="00B90508">
              <w:rPr>
                <w:sz w:val="20"/>
                <w:szCs w:val="20"/>
              </w:rPr>
              <w:t>0</w:t>
            </w:r>
          </w:p>
        </w:tc>
        <w:tc>
          <w:tcPr>
            <w:tcW w:w="1345" w:type="dxa"/>
          </w:tcPr>
          <w:p w14:paraId="60CB8246" w14:textId="77777777" w:rsidR="00B90508" w:rsidRPr="00B90508" w:rsidRDefault="00B90508" w:rsidP="00B90508">
            <w:pPr>
              <w:rPr>
                <w:sz w:val="20"/>
                <w:szCs w:val="20"/>
              </w:rPr>
            </w:pPr>
            <w:r w:rsidRPr="00B90508">
              <w:rPr>
                <w:sz w:val="20"/>
                <w:szCs w:val="20"/>
              </w:rPr>
              <w:t>0%</w:t>
            </w:r>
          </w:p>
        </w:tc>
      </w:tr>
      <w:tr w:rsidR="00B90508" w:rsidRPr="00B90508" w14:paraId="073D22EF" w14:textId="77777777" w:rsidTr="00B90508">
        <w:tc>
          <w:tcPr>
            <w:tcW w:w="3415" w:type="dxa"/>
          </w:tcPr>
          <w:p w14:paraId="262DAD85" w14:textId="77777777" w:rsidR="00B90508" w:rsidRPr="00B90508" w:rsidRDefault="00B90508" w:rsidP="00B90508">
            <w:pPr>
              <w:rPr>
                <w:sz w:val="20"/>
                <w:szCs w:val="20"/>
              </w:rPr>
            </w:pPr>
            <w:r w:rsidRPr="00B90508">
              <w:rPr>
                <w:sz w:val="20"/>
                <w:szCs w:val="20"/>
              </w:rPr>
              <w:t>Henderson Inlet</w:t>
            </w:r>
          </w:p>
        </w:tc>
        <w:tc>
          <w:tcPr>
            <w:tcW w:w="2441" w:type="dxa"/>
          </w:tcPr>
          <w:p w14:paraId="41668A14" w14:textId="77777777" w:rsidR="00B90508" w:rsidRPr="00B90508" w:rsidRDefault="00B90508" w:rsidP="00B90508">
            <w:pPr>
              <w:rPr>
                <w:sz w:val="20"/>
                <w:szCs w:val="20"/>
              </w:rPr>
            </w:pPr>
            <w:r w:rsidRPr="00B90508">
              <w:rPr>
                <w:sz w:val="20"/>
                <w:szCs w:val="20"/>
              </w:rPr>
              <w:t>80</w:t>
            </w:r>
          </w:p>
        </w:tc>
        <w:tc>
          <w:tcPr>
            <w:tcW w:w="2149" w:type="dxa"/>
          </w:tcPr>
          <w:p w14:paraId="15CBF50A" w14:textId="77777777" w:rsidR="00B90508" w:rsidRPr="00B90508" w:rsidRDefault="00B90508" w:rsidP="00B90508">
            <w:pPr>
              <w:rPr>
                <w:sz w:val="20"/>
                <w:szCs w:val="20"/>
              </w:rPr>
            </w:pPr>
            <w:r w:rsidRPr="00B90508">
              <w:rPr>
                <w:sz w:val="20"/>
                <w:szCs w:val="20"/>
              </w:rPr>
              <w:t>80</w:t>
            </w:r>
          </w:p>
        </w:tc>
        <w:tc>
          <w:tcPr>
            <w:tcW w:w="1345" w:type="dxa"/>
          </w:tcPr>
          <w:p w14:paraId="4C8436F5" w14:textId="77777777" w:rsidR="00B90508" w:rsidRPr="00B90508" w:rsidRDefault="00B90508" w:rsidP="00B90508">
            <w:pPr>
              <w:rPr>
                <w:sz w:val="20"/>
                <w:szCs w:val="20"/>
              </w:rPr>
            </w:pPr>
            <w:r w:rsidRPr="00B90508">
              <w:rPr>
                <w:sz w:val="20"/>
                <w:szCs w:val="20"/>
              </w:rPr>
              <w:t>100%</w:t>
            </w:r>
          </w:p>
        </w:tc>
      </w:tr>
      <w:tr w:rsidR="00B90508" w:rsidRPr="00B90508" w14:paraId="36B364DA" w14:textId="77777777" w:rsidTr="00B90508">
        <w:tc>
          <w:tcPr>
            <w:tcW w:w="3415" w:type="dxa"/>
            <w:tcBorders>
              <w:bottom w:val="single" w:sz="4" w:space="0" w:color="BFBFBF" w:themeColor="background1" w:themeShade="BF"/>
            </w:tcBorders>
          </w:tcPr>
          <w:p w14:paraId="4F71DAB4" w14:textId="77777777" w:rsidR="00B90508" w:rsidRPr="00B90508" w:rsidRDefault="00B90508" w:rsidP="00B90508">
            <w:pPr>
              <w:rPr>
                <w:sz w:val="20"/>
                <w:szCs w:val="20"/>
              </w:rPr>
            </w:pPr>
            <w:r w:rsidRPr="00B90508">
              <w:rPr>
                <w:sz w:val="20"/>
                <w:szCs w:val="20"/>
              </w:rPr>
              <w:t>Nisqually</w:t>
            </w:r>
          </w:p>
        </w:tc>
        <w:tc>
          <w:tcPr>
            <w:tcW w:w="2441" w:type="dxa"/>
          </w:tcPr>
          <w:p w14:paraId="5DE007DA" w14:textId="77777777" w:rsidR="00B90508" w:rsidRPr="00B90508" w:rsidRDefault="00B90508" w:rsidP="00B90508">
            <w:pPr>
              <w:rPr>
                <w:sz w:val="20"/>
                <w:szCs w:val="20"/>
              </w:rPr>
            </w:pPr>
            <w:r w:rsidRPr="00B90508">
              <w:rPr>
                <w:sz w:val="20"/>
                <w:szCs w:val="20"/>
              </w:rPr>
              <w:t>11,606</w:t>
            </w:r>
          </w:p>
        </w:tc>
        <w:tc>
          <w:tcPr>
            <w:tcW w:w="2149" w:type="dxa"/>
          </w:tcPr>
          <w:p w14:paraId="769A1593" w14:textId="77777777" w:rsidR="00B90508" w:rsidRPr="00B90508" w:rsidRDefault="00B90508" w:rsidP="00B90508">
            <w:pPr>
              <w:rPr>
                <w:sz w:val="20"/>
                <w:szCs w:val="20"/>
              </w:rPr>
            </w:pPr>
            <w:r w:rsidRPr="00B90508">
              <w:rPr>
                <w:sz w:val="20"/>
                <w:szCs w:val="20"/>
              </w:rPr>
              <w:t>11,030</w:t>
            </w:r>
          </w:p>
        </w:tc>
        <w:tc>
          <w:tcPr>
            <w:tcW w:w="1345" w:type="dxa"/>
          </w:tcPr>
          <w:p w14:paraId="103AB160" w14:textId="77777777" w:rsidR="00B90508" w:rsidRPr="00B90508" w:rsidRDefault="00B90508" w:rsidP="00B90508">
            <w:pPr>
              <w:rPr>
                <w:sz w:val="20"/>
                <w:szCs w:val="20"/>
              </w:rPr>
            </w:pPr>
            <w:r w:rsidRPr="00B90508">
              <w:rPr>
                <w:sz w:val="20"/>
                <w:szCs w:val="20"/>
              </w:rPr>
              <w:t>95%</w:t>
            </w:r>
          </w:p>
        </w:tc>
      </w:tr>
      <w:tr w:rsidR="00B90508" w:rsidRPr="00B90508" w14:paraId="478E4174" w14:textId="77777777" w:rsidTr="00B90508">
        <w:tc>
          <w:tcPr>
            <w:tcW w:w="3415" w:type="dxa"/>
            <w:tcBorders>
              <w:left w:val="nil"/>
              <w:bottom w:val="nil"/>
            </w:tcBorders>
          </w:tcPr>
          <w:p w14:paraId="1B30C2C9" w14:textId="77777777" w:rsidR="00B90508" w:rsidRPr="00B90508" w:rsidRDefault="00B90508" w:rsidP="00B90508">
            <w:pPr>
              <w:rPr>
                <w:sz w:val="20"/>
                <w:szCs w:val="20"/>
              </w:rPr>
            </w:pPr>
          </w:p>
        </w:tc>
        <w:tc>
          <w:tcPr>
            <w:tcW w:w="2441" w:type="dxa"/>
          </w:tcPr>
          <w:p w14:paraId="38AD465A" w14:textId="77777777" w:rsidR="00B90508" w:rsidRPr="00B90508" w:rsidRDefault="00B90508" w:rsidP="00B90508">
            <w:pPr>
              <w:rPr>
                <w:sz w:val="20"/>
                <w:szCs w:val="20"/>
              </w:rPr>
            </w:pPr>
            <w:r w:rsidRPr="00B90508">
              <w:rPr>
                <w:sz w:val="20"/>
                <w:szCs w:val="20"/>
              </w:rPr>
              <w:t>16,024</w:t>
            </w:r>
          </w:p>
        </w:tc>
        <w:tc>
          <w:tcPr>
            <w:tcW w:w="2149" w:type="dxa"/>
          </w:tcPr>
          <w:p w14:paraId="6A70C069" w14:textId="77777777" w:rsidR="00B90508" w:rsidRPr="00B90508" w:rsidRDefault="00B90508" w:rsidP="00B90508">
            <w:pPr>
              <w:rPr>
                <w:sz w:val="20"/>
                <w:szCs w:val="20"/>
              </w:rPr>
            </w:pPr>
            <w:r w:rsidRPr="00B90508">
              <w:rPr>
                <w:sz w:val="20"/>
                <w:szCs w:val="20"/>
              </w:rPr>
              <w:t>14,306</w:t>
            </w:r>
          </w:p>
        </w:tc>
        <w:tc>
          <w:tcPr>
            <w:tcW w:w="1345" w:type="dxa"/>
          </w:tcPr>
          <w:p w14:paraId="0292748F" w14:textId="77777777" w:rsidR="00B90508" w:rsidRPr="00B90508" w:rsidRDefault="00B90508" w:rsidP="00B90508">
            <w:pPr>
              <w:rPr>
                <w:sz w:val="20"/>
                <w:szCs w:val="20"/>
              </w:rPr>
            </w:pPr>
            <w:r w:rsidRPr="00B90508">
              <w:rPr>
                <w:sz w:val="20"/>
                <w:szCs w:val="20"/>
              </w:rPr>
              <w:t>89%</w:t>
            </w:r>
          </w:p>
        </w:tc>
      </w:tr>
    </w:tbl>
    <w:p w14:paraId="3771DF21" w14:textId="77777777" w:rsidR="00B90508" w:rsidRPr="00B90508" w:rsidRDefault="00B90508" w:rsidP="00B90508">
      <w:pPr>
        <w:spacing w:before="80" w:after="300" w:line="240" w:lineRule="auto"/>
        <w:rPr>
          <w:rFonts w:ascii="Calibri" w:eastAsia="Calibri" w:hAnsi="Calibri" w:cs="Calibri"/>
          <w:sz w:val="20"/>
          <w:szCs w:val="18"/>
        </w:rPr>
      </w:pPr>
      <w:r w:rsidRPr="00B90508">
        <w:rPr>
          <w:rFonts w:ascii="Calibri" w:eastAsia="Calibri" w:hAnsi="Calibri" w:cs="Calibri"/>
          <w:sz w:val="16"/>
          <w:szCs w:val="18"/>
        </w:rPr>
        <w:t>*No Prairie/Grassland habitat mapped within the following Assessment Units: Budd Inlet, Carr Inlet, Case Inlet, Eld Inlet, Harstine Island, McNeil Island, Totten &amp; Little Skookum Inlets</w:t>
      </w:r>
    </w:p>
    <w:p w14:paraId="2689B341" w14:textId="77777777" w:rsidR="00B90508" w:rsidRPr="00B90508" w:rsidRDefault="00B90508" w:rsidP="00B90508">
      <w:pPr>
        <w:spacing w:line="276" w:lineRule="auto"/>
        <w:rPr>
          <w:rFonts w:eastAsiaTheme="minorEastAsia"/>
        </w:rPr>
      </w:pPr>
      <w:r w:rsidRPr="00B90508">
        <w:rPr>
          <w:rFonts w:ascii="Calibri" w:eastAsia="Calibri" w:hAnsi="Calibri" w:cs="Calibri"/>
        </w:rPr>
        <w:t>Oak woodlands are present on nearly 12,000 acres with the majority located in the lower Deschutes and Nisqually watersheds and the Lower Chambers-Clover watershed. Only 36% of oak woodlands (4,300 acres) occur on land owned and managed resource agencies or non-profits. The greatest amount of Oak Woodland habitat occurs in the Chambers-Clover watershed and the Nisqually watershed (4,257 and 4,345 acres, respectively).</w:t>
      </w:r>
    </w:p>
    <w:p w14:paraId="0BAE9C48"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t>Table X. Oak Woodland Habitat in Protected Status by Assessment Unit</w:t>
      </w:r>
    </w:p>
    <w:tbl>
      <w:tblPr>
        <w:tblStyle w:val="TableGrid1"/>
        <w:tblW w:w="5000" w:type="pct"/>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3415"/>
        <w:gridCol w:w="2441"/>
        <w:gridCol w:w="2149"/>
        <w:gridCol w:w="1345"/>
      </w:tblGrid>
      <w:tr w:rsidR="00B90508" w:rsidRPr="00B90508" w14:paraId="5DA721FA" w14:textId="77777777" w:rsidTr="00B90508">
        <w:tc>
          <w:tcPr>
            <w:tcW w:w="3415" w:type="dxa"/>
            <w:shd w:val="clear" w:color="auto" w:fill="D9D9D9" w:themeFill="background1" w:themeFillShade="D9"/>
            <w:vAlign w:val="center"/>
          </w:tcPr>
          <w:p w14:paraId="44AE3D90" w14:textId="77777777" w:rsidR="00B90508" w:rsidRPr="00B90508" w:rsidRDefault="00B90508" w:rsidP="00B90508">
            <w:pPr>
              <w:jc w:val="center"/>
              <w:rPr>
                <w:b/>
                <w:sz w:val="20"/>
                <w:szCs w:val="20"/>
              </w:rPr>
            </w:pPr>
            <w:r w:rsidRPr="00B90508">
              <w:rPr>
                <w:b/>
                <w:sz w:val="20"/>
                <w:szCs w:val="20"/>
              </w:rPr>
              <w:t>Assessment Unit</w:t>
            </w:r>
          </w:p>
        </w:tc>
        <w:tc>
          <w:tcPr>
            <w:tcW w:w="2441" w:type="dxa"/>
            <w:shd w:val="clear" w:color="auto" w:fill="D9D9D9" w:themeFill="background1" w:themeFillShade="D9"/>
            <w:vAlign w:val="center"/>
          </w:tcPr>
          <w:p w14:paraId="6B7C9B1F" w14:textId="77777777" w:rsidR="00B90508" w:rsidRPr="00B90508" w:rsidRDefault="00B90508" w:rsidP="00B90508">
            <w:pPr>
              <w:jc w:val="center"/>
              <w:rPr>
                <w:b/>
                <w:sz w:val="20"/>
                <w:szCs w:val="20"/>
              </w:rPr>
            </w:pPr>
            <w:r w:rsidRPr="00B90508">
              <w:rPr>
                <w:b/>
                <w:sz w:val="20"/>
                <w:szCs w:val="20"/>
              </w:rPr>
              <w:t>Oak Woodlands (Acres)</w:t>
            </w:r>
          </w:p>
        </w:tc>
        <w:tc>
          <w:tcPr>
            <w:tcW w:w="2149" w:type="dxa"/>
            <w:shd w:val="clear" w:color="auto" w:fill="D9D9D9" w:themeFill="background1" w:themeFillShade="D9"/>
            <w:vAlign w:val="center"/>
          </w:tcPr>
          <w:p w14:paraId="2657DDFD" w14:textId="77777777" w:rsidR="00B90508" w:rsidRPr="00B90508" w:rsidRDefault="00B90508" w:rsidP="00B90508">
            <w:pPr>
              <w:jc w:val="center"/>
              <w:rPr>
                <w:b/>
                <w:sz w:val="20"/>
                <w:szCs w:val="20"/>
              </w:rPr>
            </w:pPr>
            <w:r w:rsidRPr="00B90508">
              <w:rPr>
                <w:b/>
                <w:sz w:val="20"/>
                <w:szCs w:val="20"/>
              </w:rPr>
              <w:t>Amount in Protected Status (Acres)</w:t>
            </w:r>
          </w:p>
        </w:tc>
        <w:tc>
          <w:tcPr>
            <w:tcW w:w="1345" w:type="dxa"/>
            <w:shd w:val="clear" w:color="auto" w:fill="D9D9D9" w:themeFill="background1" w:themeFillShade="D9"/>
            <w:vAlign w:val="center"/>
          </w:tcPr>
          <w:p w14:paraId="13EBF1C7" w14:textId="77777777" w:rsidR="00B90508" w:rsidRPr="00B90508" w:rsidRDefault="00B90508" w:rsidP="00B90508">
            <w:pPr>
              <w:jc w:val="center"/>
              <w:rPr>
                <w:b/>
                <w:sz w:val="20"/>
                <w:szCs w:val="20"/>
              </w:rPr>
            </w:pPr>
            <w:r w:rsidRPr="00B90508">
              <w:rPr>
                <w:b/>
                <w:sz w:val="20"/>
                <w:szCs w:val="20"/>
              </w:rPr>
              <w:t>% Protected</w:t>
            </w:r>
          </w:p>
        </w:tc>
      </w:tr>
      <w:tr w:rsidR="00B90508" w:rsidRPr="00B90508" w14:paraId="72CE2663" w14:textId="77777777" w:rsidTr="00B90508">
        <w:tc>
          <w:tcPr>
            <w:tcW w:w="3415" w:type="dxa"/>
          </w:tcPr>
          <w:p w14:paraId="6FCF66FC" w14:textId="77777777" w:rsidR="00B90508" w:rsidRPr="00B90508" w:rsidRDefault="00B90508" w:rsidP="00B90508">
            <w:pPr>
              <w:rPr>
                <w:sz w:val="20"/>
                <w:szCs w:val="20"/>
              </w:rPr>
            </w:pPr>
            <w:r w:rsidRPr="00B90508">
              <w:rPr>
                <w:sz w:val="20"/>
                <w:szCs w:val="20"/>
              </w:rPr>
              <w:t>Chambers Clover</w:t>
            </w:r>
          </w:p>
        </w:tc>
        <w:tc>
          <w:tcPr>
            <w:tcW w:w="2441" w:type="dxa"/>
          </w:tcPr>
          <w:p w14:paraId="02AEB25C" w14:textId="77777777" w:rsidR="00B90508" w:rsidRPr="00B90508" w:rsidRDefault="00B90508" w:rsidP="00B90508">
            <w:pPr>
              <w:rPr>
                <w:sz w:val="20"/>
                <w:szCs w:val="20"/>
              </w:rPr>
            </w:pPr>
            <w:r w:rsidRPr="00B90508">
              <w:rPr>
                <w:sz w:val="20"/>
                <w:szCs w:val="20"/>
              </w:rPr>
              <w:t>4,257</w:t>
            </w:r>
          </w:p>
        </w:tc>
        <w:tc>
          <w:tcPr>
            <w:tcW w:w="2149" w:type="dxa"/>
          </w:tcPr>
          <w:p w14:paraId="02FD1A9D" w14:textId="77777777" w:rsidR="00B90508" w:rsidRPr="00B90508" w:rsidRDefault="00B90508" w:rsidP="00B90508">
            <w:pPr>
              <w:rPr>
                <w:sz w:val="20"/>
                <w:szCs w:val="20"/>
              </w:rPr>
            </w:pPr>
            <w:r w:rsidRPr="00B90508">
              <w:rPr>
                <w:sz w:val="20"/>
                <w:szCs w:val="20"/>
              </w:rPr>
              <w:t>1,492</w:t>
            </w:r>
          </w:p>
        </w:tc>
        <w:tc>
          <w:tcPr>
            <w:tcW w:w="1345" w:type="dxa"/>
          </w:tcPr>
          <w:p w14:paraId="42F2AC70" w14:textId="77777777" w:rsidR="00B90508" w:rsidRPr="00B90508" w:rsidRDefault="00B90508" w:rsidP="00B90508">
            <w:pPr>
              <w:rPr>
                <w:sz w:val="20"/>
                <w:szCs w:val="20"/>
              </w:rPr>
            </w:pPr>
            <w:r w:rsidRPr="00B90508">
              <w:rPr>
                <w:sz w:val="20"/>
                <w:szCs w:val="20"/>
              </w:rPr>
              <w:t>35%</w:t>
            </w:r>
          </w:p>
        </w:tc>
      </w:tr>
      <w:tr w:rsidR="00B90508" w:rsidRPr="00B90508" w14:paraId="5AD490E0" w14:textId="77777777" w:rsidTr="00B90508">
        <w:tc>
          <w:tcPr>
            <w:tcW w:w="3415" w:type="dxa"/>
          </w:tcPr>
          <w:p w14:paraId="69A39721" w14:textId="77777777" w:rsidR="00B90508" w:rsidRPr="00B90508" w:rsidRDefault="00B90508" w:rsidP="00B90508">
            <w:pPr>
              <w:rPr>
                <w:sz w:val="20"/>
                <w:szCs w:val="20"/>
              </w:rPr>
            </w:pPr>
            <w:r w:rsidRPr="00B90508">
              <w:rPr>
                <w:sz w:val="20"/>
                <w:szCs w:val="20"/>
              </w:rPr>
              <w:t>Deschutes</w:t>
            </w:r>
          </w:p>
        </w:tc>
        <w:tc>
          <w:tcPr>
            <w:tcW w:w="2441" w:type="dxa"/>
          </w:tcPr>
          <w:p w14:paraId="43E9ADDF" w14:textId="77777777" w:rsidR="00B90508" w:rsidRPr="00B90508" w:rsidRDefault="00B90508" w:rsidP="00B90508">
            <w:pPr>
              <w:rPr>
                <w:sz w:val="20"/>
                <w:szCs w:val="20"/>
              </w:rPr>
            </w:pPr>
            <w:r w:rsidRPr="00B90508">
              <w:rPr>
                <w:sz w:val="20"/>
                <w:szCs w:val="20"/>
              </w:rPr>
              <w:t>1,411</w:t>
            </w:r>
          </w:p>
        </w:tc>
        <w:tc>
          <w:tcPr>
            <w:tcW w:w="2149" w:type="dxa"/>
          </w:tcPr>
          <w:p w14:paraId="76C01887" w14:textId="77777777" w:rsidR="00B90508" w:rsidRPr="00B90508" w:rsidRDefault="00B90508" w:rsidP="00B90508">
            <w:pPr>
              <w:rPr>
                <w:sz w:val="20"/>
                <w:szCs w:val="20"/>
              </w:rPr>
            </w:pPr>
            <w:r w:rsidRPr="00B90508">
              <w:rPr>
                <w:sz w:val="20"/>
                <w:szCs w:val="20"/>
              </w:rPr>
              <w:t>259</w:t>
            </w:r>
          </w:p>
        </w:tc>
        <w:tc>
          <w:tcPr>
            <w:tcW w:w="1345" w:type="dxa"/>
          </w:tcPr>
          <w:p w14:paraId="4279EF0D" w14:textId="77777777" w:rsidR="00B90508" w:rsidRPr="00B90508" w:rsidRDefault="00B90508" w:rsidP="00B90508">
            <w:pPr>
              <w:rPr>
                <w:sz w:val="20"/>
                <w:szCs w:val="20"/>
              </w:rPr>
            </w:pPr>
            <w:r w:rsidRPr="00B90508">
              <w:rPr>
                <w:sz w:val="20"/>
                <w:szCs w:val="20"/>
              </w:rPr>
              <w:t>18%</w:t>
            </w:r>
          </w:p>
        </w:tc>
      </w:tr>
      <w:tr w:rsidR="00B90508" w:rsidRPr="00B90508" w14:paraId="2EF633BB" w14:textId="77777777" w:rsidTr="00B90508">
        <w:tc>
          <w:tcPr>
            <w:tcW w:w="3415" w:type="dxa"/>
          </w:tcPr>
          <w:p w14:paraId="27C6C256" w14:textId="77777777" w:rsidR="00B90508" w:rsidRPr="00B90508" w:rsidRDefault="00B90508" w:rsidP="00B90508">
            <w:pPr>
              <w:rPr>
                <w:sz w:val="20"/>
                <w:szCs w:val="20"/>
              </w:rPr>
            </w:pPr>
            <w:r w:rsidRPr="00B90508">
              <w:rPr>
                <w:sz w:val="20"/>
                <w:szCs w:val="20"/>
              </w:rPr>
              <w:t>Eld Inlet</w:t>
            </w:r>
          </w:p>
        </w:tc>
        <w:tc>
          <w:tcPr>
            <w:tcW w:w="2441" w:type="dxa"/>
          </w:tcPr>
          <w:p w14:paraId="0F1A125F" w14:textId="77777777" w:rsidR="00B90508" w:rsidRPr="00B90508" w:rsidRDefault="00B90508" w:rsidP="00B90508">
            <w:pPr>
              <w:rPr>
                <w:sz w:val="20"/>
                <w:szCs w:val="20"/>
              </w:rPr>
            </w:pPr>
            <w:r w:rsidRPr="00B90508">
              <w:rPr>
                <w:sz w:val="20"/>
                <w:szCs w:val="20"/>
              </w:rPr>
              <w:t>16</w:t>
            </w:r>
          </w:p>
        </w:tc>
        <w:tc>
          <w:tcPr>
            <w:tcW w:w="2149" w:type="dxa"/>
          </w:tcPr>
          <w:p w14:paraId="763F71AB" w14:textId="77777777" w:rsidR="00B90508" w:rsidRPr="00B90508" w:rsidRDefault="00B90508" w:rsidP="00B90508">
            <w:pPr>
              <w:rPr>
                <w:sz w:val="20"/>
                <w:szCs w:val="20"/>
              </w:rPr>
            </w:pPr>
            <w:r w:rsidRPr="00B90508">
              <w:rPr>
                <w:sz w:val="20"/>
                <w:szCs w:val="20"/>
              </w:rPr>
              <w:t>0</w:t>
            </w:r>
          </w:p>
        </w:tc>
        <w:tc>
          <w:tcPr>
            <w:tcW w:w="1345" w:type="dxa"/>
          </w:tcPr>
          <w:p w14:paraId="7AF89EEF" w14:textId="77777777" w:rsidR="00B90508" w:rsidRPr="00B90508" w:rsidRDefault="00B90508" w:rsidP="00B90508">
            <w:pPr>
              <w:rPr>
                <w:sz w:val="20"/>
                <w:szCs w:val="20"/>
              </w:rPr>
            </w:pPr>
            <w:r w:rsidRPr="00B90508">
              <w:rPr>
                <w:sz w:val="20"/>
                <w:szCs w:val="20"/>
              </w:rPr>
              <w:t>0%</w:t>
            </w:r>
          </w:p>
        </w:tc>
      </w:tr>
      <w:tr w:rsidR="00B90508" w:rsidRPr="00B90508" w14:paraId="6A8561F8" w14:textId="77777777" w:rsidTr="00B90508">
        <w:tc>
          <w:tcPr>
            <w:tcW w:w="3415" w:type="dxa"/>
          </w:tcPr>
          <w:p w14:paraId="362B5EFB" w14:textId="77777777" w:rsidR="00B90508" w:rsidRPr="00B90508" w:rsidRDefault="00B90508" w:rsidP="00B90508">
            <w:pPr>
              <w:rPr>
                <w:sz w:val="20"/>
                <w:szCs w:val="20"/>
              </w:rPr>
            </w:pPr>
            <w:r w:rsidRPr="00B90508">
              <w:rPr>
                <w:sz w:val="20"/>
                <w:szCs w:val="20"/>
              </w:rPr>
              <w:t>Hammersley Inlet &amp; Oakland Bay</w:t>
            </w:r>
          </w:p>
        </w:tc>
        <w:tc>
          <w:tcPr>
            <w:tcW w:w="2441" w:type="dxa"/>
          </w:tcPr>
          <w:p w14:paraId="38E7990D" w14:textId="77777777" w:rsidR="00B90508" w:rsidRPr="00B90508" w:rsidRDefault="00B90508" w:rsidP="00B90508">
            <w:pPr>
              <w:rPr>
                <w:sz w:val="20"/>
                <w:szCs w:val="20"/>
              </w:rPr>
            </w:pPr>
            <w:r w:rsidRPr="00B90508">
              <w:rPr>
                <w:sz w:val="20"/>
                <w:szCs w:val="20"/>
              </w:rPr>
              <w:t>55</w:t>
            </w:r>
          </w:p>
        </w:tc>
        <w:tc>
          <w:tcPr>
            <w:tcW w:w="2149" w:type="dxa"/>
          </w:tcPr>
          <w:p w14:paraId="27E767B5" w14:textId="77777777" w:rsidR="00B90508" w:rsidRPr="00B90508" w:rsidRDefault="00B90508" w:rsidP="00B90508">
            <w:pPr>
              <w:rPr>
                <w:sz w:val="20"/>
                <w:szCs w:val="20"/>
              </w:rPr>
            </w:pPr>
            <w:r w:rsidRPr="00B90508">
              <w:rPr>
                <w:sz w:val="20"/>
                <w:szCs w:val="20"/>
              </w:rPr>
              <w:t>0</w:t>
            </w:r>
          </w:p>
        </w:tc>
        <w:tc>
          <w:tcPr>
            <w:tcW w:w="1345" w:type="dxa"/>
          </w:tcPr>
          <w:p w14:paraId="73825860" w14:textId="77777777" w:rsidR="00B90508" w:rsidRPr="00B90508" w:rsidRDefault="00B90508" w:rsidP="00B90508">
            <w:pPr>
              <w:rPr>
                <w:sz w:val="20"/>
                <w:szCs w:val="20"/>
              </w:rPr>
            </w:pPr>
            <w:r w:rsidRPr="00B90508">
              <w:rPr>
                <w:sz w:val="20"/>
                <w:szCs w:val="20"/>
              </w:rPr>
              <w:t>0%</w:t>
            </w:r>
          </w:p>
        </w:tc>
      </w:tr>
      <w:tr w:rsidR="00B90508" w:rsidRPr="00B90508" w14:paraId="70ACD947" w14:textId="77777777" w:rsidTr="00B90508">
        <w:tc>
          <w:tcPr>
            <w:tcW w:w="3415" w:type="dxa"/>
          </w:tcPr>
          <w:p w14:paraId="1A0C541E" w14:textId="77777777" w:rsidR="00B90508" w:rsidRPr="00B90508" w:rsidRDefault="00B90508" w:rsidP="00B90508">
            <w:pPr>
              <w:rPr>
                <w:sz w:val="20"/>
                <w:szCs w:val="20"/>
              </w:rPr>
            </w:pPr>
            <w:r w:rsidRPr="00B90508">
              <w:rPr>
                <w:sz w:val="20"/>
                <w:szCs w:val="20"/>
              </w:rPr>
              <w:t>Henderson Inlet</w:t>
            </w:r>
          </w:p>
        </w:tc>
        <w:tc>
          <w:tcPr>
            <w:tcW w:w="2441" w:type="dxa"/>
          </w:tcPr>
          <w:p w14:paraId="6603C163" w14:textId="77777777" w:rsidR="00B90508" w:rsidRPr="00B90508" w:rsidRDefault="00B90508" w:rsidP="00B90508">
            <w:pPr>
              <w:rPr>
                <w:sz w:val="20"/>
                <w:szCs w:val="20"/>
              </w:rPr>
            </w:pPr>
            <w:r w:rsidRPr="00B90508">
              <w:rPr>
                <w:sz w:val="20"/>
                <w:szCs w:val="20"/>
              </w:rPr>
              <w:t>1,867</w:t>
            </w:r>
          </w:p>
        </w:tc>
        <w:tc>
          <w:tcPr>
            <w:tcW w:w="2149" w:type="dxa"/>
          </w:tcPr>
          <w:p w14:paraId="391EDF89" w14:textId="77777777" w:rsidR="00B90508" w:rsidRPr="00B90508" w:rsidRDefault="00B90508" w:rsidP="00B90508">
            <w:pPr>
              <w:rPr>
                <w:sz w:val="20"/>
                <w:szCs w:val="20"/>
              </w:rPr>
            </w:pPr>
            <w:r w:rsidRPr="00B90508">
              <w:rPr>
                <w:sz w:val="20"/>
                <w:szCs w:val="20"/>
              </w:rPr>
              <w:t>468</w:t>
            </w:r>
          </w:p>
        </w:tc>
        <w:tc>
          <w:tcPr>
            <w:tcW w:w="1345" w:type="dxa"/>
          </w:tcPr>
          <w:p w14:paraId="70726C2C" w14:textId="77777777" w:rsidR="00B90508" w:rsidRPr="00B90508" w:rsidRDefault="00B90508" w:rsidP="00B90508">
            <w:pPr>
              <w:rPr>
                <w:sz w:val="20"/>
                <w:szCs w:val="20"/>
              </w:rPr>
            </w:pPr>
            <w:r w:rsidRPr="00B90508">
              <w:rPr>
                <w:sz w:val="20"/>
                <w:szCs w:val="20"/>
              </w:rPr>
              <w:t>25%</w:t>
            </w:r>
          </w:p>
        </w:tc>
      </w:tr>
      <w:tr w:rsidR="00B90508" w:rsidRPr="00B90508" w14:paraId="46EC5265" w14:textId="77777777" w:rsidTr="00B90508">
        <w:tc>
          <w:tcPr>
            <w:tcW w:w="3415" w:type="dxa"/>
          </w:tcPr>
          <w:p w14:paraId="32187E64" w14:textId="77777777" w:rsidR="00B90508" w:rsidRPr="00B90508" w:rsidRDefault="00B90508" w:rsidP="00B90508">
            <w:pPr>
              <w:rPr>
                <w:sz w:val="20"/>
                <w:szCs w:val="20"/>
              </w:rPr>
            </w:pPr>
            <w:r w:rsidRPr="00B90508">
              <w:rPr>
                <w:sz w:val="20"/>
                <w:szCs w:val="20"/>
              </w:rPr>
              <w:t>Nisqually</w:t>
            </w:r>
          </w:p>
        </w:tc>
        <w:tc>
          <w:tcPr>
            <w:tcW w:w="2441" w:type="dxa"/>
          </w:tcPr>
          <w:p w14:paraId="70B59712" w14:textId="77777777" w:rsidR="00B90508" w:rsidRPr="00B90508" w:rsidRDefault="00B90508" w:rsidP="00B90508">
            <w:pPr>
              <w:rPr>
                <w:sz w:val="20"/>
                <w:szCs w:val="20"/>
              </w:rPr>
            </w:pPr>
            <w:r w:rsidRPr="00B90508">
              <w:rPr>
                <w:sz w:val="20"/>
                <w:szCs w:val="20"/>
              </w:rPr>
              <w:t>4,345</w:t>
            </w:r>
          </w:p>
        </w:tc>
        <w:tc>
          <w:tcPr>
            <w:tcW w:w="2149" w:type="dxa"/>
          </w:tcPr>
          <w:p w14:paraId="01717817" w14:textId="77777777" w:rsidR="00B90508" w:rsidRPr="00B90508" w:rsidRDefault="00B90508" w:rsidP="00B90508">
            <w:pPr>
              <w:rPr>
                <w:sz w:val="20"/>
                <w:szCs w:val="20"/>
              </w:rPr>
            </w:pPr>
            <w:r w:rsidRPr="00B90508">
              <w:rPr>
                <w:sz w:val="20"/>
                <w:szCs w:val="20"/>
              </w:rPr>
              <w:t>2,049</w:t>
            </w:r>
          </w:p>
        </w:tc>
        <w:tc>
          <w:tcPr>
            <w:tcW w:w="1345" w:type="dxa"/>
          </w:tcPr>
          <w:p w14:paraId="7918C938" w14:textId="77777777" w:rsidR="00B90508" w:rsidRPr="00B90508" w:rsidRDefault="00B90508" w:rsidP="00B90508">
            <w:pPr>
              <w:rPr>
                <w:sz w:val="20"/>
                <w:szCs w:val="20"/>
              </w:rPr>
            </w:pPr>
            <w:r w:rsidRPr="00B90508">
              <w:rPr>
                <w:sz w:val="20"/>
                <w:szCs w:val="20"/>
              </w:rPr>
              <w:t>47%</w:t>
            </w:r>
          </w:p>
        </w:tc>
      </w:tr>
      <w:tr w:rsidR="00B90508" w:rsidRPr="00B90508" w14:paraId="62C6FC00" w14:textId="77777777" w:rsidTr="00B90508">
        <w:tc>
          <w:tcPr>
            <w:tcW w:w="3415" w:type="dxa"/>
            <w:tcBorders>
              <w:bottom w:val="single" w:sz="4" w:space="0" w:color="BFBFBF" w:themeColor="background1" w:themeShade="BF"/>
            </w:tcBorders>
          </w:tcPr>
          <w:p w14:paraId="7321C507" w14:textId="77777777" w:rsidR="00B90508" w:rsidRPr="00B90508" w:rsidRDefault="00B90508" w:rsidP="00B90508">
            <w:pPr>
              <w:rPr>
                <w:sz w:val="20"/>
                <w:szCs w:val="20"/>
              </w:rPr>
            </w:pPr>
            <w:r w:rsidRPr="00B90508">
              <w:rPr>
                <w:sz w:val="20"/>
                <w:szCs w:val="20"/>
              </w:rPr>
              <w:t>Totten &amp; Little Skookum Inlets</w:t>
            </w:r>
          </w:p>
        </w:tc>
        <w:tc>
          <w:tcPr>
            <w:tcW w:w="2441" w:type="dxa"/>
          </w:tcPr>
          <w:p w14:paraId="7190A3A9" w14:textId="77777777" w:rsidR="00B90508" w:rsidRPr="00B90508" w:rsidRDefault="00B90508" w:rsidP="00B90508">
            <w:pPr>
              <w:rPr>
                <w:sz w:val="20"/>
                <w:szCs w:val="20"/>
              </w:rPr>
            </w:pPr>
            <w:r w:rsidRPr="00B90508">
              <w:rPr>
                <w:sz w:val="20"/>
                <w:szCs w:val="20"/>
              </w:rPr>
              <w:t>7</w:t>
            </w:r>
          </w:p>
        </w:tc>
        <w:tc>
          <w:tcPr>
            <w:tcW w:w="2149" w:type="dxa"/>
          </w:tcPr>
          <w:p w14:paraId="54E38FFE" w14:textId="77777777" w:rsidR="00B90508" w:rsidRPr="00B90508" w:rsidRDefault="00B90508" w:rsidP="00B90508">
            <w:pPr>
              <w:rPr>
                <w:sz w:val="20"/>
                <w:szCs w:val="20"/>
              </w:rPr>
            </w:pPr>
            <w:r w:rsidRPr="00B90508">
              <w:rPr>
                <w:sz w:val="20"/>
                <w:szCs w:val="20"/>
              </w:rPr>
              <w:t>0</w:t>
            </w:r>
          </w:p>
        </w:tc>
        <w:tc>
          <w:tcPr>
            <w:tcW w:w="1345" w:type="dxa"/>
          </w:tcPr>
          <w:p w14:paraId="3917D805" w14:textId="77777777" w:rsidR="00B90508" w:rsidRPr="00B90508" w:rsidRDefault="00B90508" w:rsidP="00B90508">
            <w:pPr>
              <w:rPr>
                <w:sz w:val="20"/>
                <w:szCs w:val="20"/>
              </w:rPr>
            </w:pPr>
            <w:r w:rsidRPr="00B90508">
              <w:rPr>
                <w:sz w:val="20"/>
                <w:szCs w:val="20"/>
              </w:rPr>
              <w:t>0%</w:t>
            </w:r>
          </w:p>
        </w:tc>
      </w:tr>
      <w:tr w:rsidR="00B90508" w:rsidRPr="00B90508" w14:paraId="6D5D25B9" w14:textId="77777777" w:rsidTr="00B90508">
        <w:tc>
          <w:tcPr>
            <w:tcW w:w="3415" w:type="dxa"/>
            <w:tcBorders>
              <w:left w:val="nil"/>
              <w:bottom w:val="nil"/>
            </w:tcBorders>
          </w:tcPr>
          <w:p w14:paraId="06BE7115" w14:textId="77777777" w:rsidR="00B90508" w:rsidRPr="00B90508" w:rsidRDefault="00B90508" w:rsidP="00B90508">
            <w:pPr>
              <w:rPr>
                <w:sz w:val="20"/>
                <w:szCs w:val="20"/>
              </w:rPr>
            </w:pPr>
            <w:r w:rsidRPr="00B90508">
              <w:rPr>
                <w:sz w:val="20"/>
                <w:szCs w:val="20"/>
              </w:rPr>
              <w:t xml:space="preserve"> </w:t>
            </w:r>
          </w:p>
        </w:tc>
        <w:tc>
          <w:tcPr>
            <w:tcW w:w="2441" w:type="dxa"/>
          </w:tcPr>
          <w:p w14:paraId="5304E761" w14:textId="77777777" w:rsidR="00B90508" w:rsidRPr="00B90508" w:rsidRDefault="00B90508" w:rsidP="00B90508">
            <w:pPr>
              <w:rPr>
                <w:sz w:val="20"/>
                <w:szCs w:val="20"/>
              </w:rPr>
            </w:pPr>
            <w:r w:rsidRPr="00B90508">
              <w:rPr>
                <w:sz w:val="20"/>
                <w:szCs w:val="20"/>
              </w:rPr>
              <w:t>11,959</w:t>
            </w:r>
          </w:p>
        </w:tc>
        <w:tc>
          <w:tcPr>
            <w:tcW w:w="2149" w:type="dxa"/>
          </w:tcPr>
          <w:p w14:paraId="7E2D4947" w14:textId="77777777" w:rsidR="00B90508" w:rsidRPr="00B90508" w:rsidRDefault="00B90508" w:rsidP="00B90508">
            <w:pPr>
              <w:rPr>
                <w:sz w:val="20"/>
                <w:szCs w:val="20"/>
              </w:rPr>
            </w:pPr>
            <w:r w:rsidRPr="00B90508">
              <w:rPr>
                <w:sz w:val="20"/>
                <w:szCs w:val="20"/>
              </w:rPr>
              <w:t>4,268</w:t>
            </w:r>
          </w:p>
        </w:tc>
        <w:tc>
          <w:tcPr>
            <w:tcW w:w="1345" w:type="dxa"/>
          </w:tcPr>
          <w:p w14:paraId="2A612F37" w14:textId="77777777" w:rsidR="00B90508" w:rsidRPr="00B90508" w:rsidRDefault="00B90508" w:rsidP="00B90508">
            <w:pPr>
              <w:rPr>
                <w:sz w:val="20"/>
                <w:szCs w:val="20"/>
              </w:rPr>
            </w:pPr>
            <w:r w:rsidRPr="00B90508">
              <w:rPr>
                <w:sz w:val="20"/>
                <w:szCs w:val="20"/>
              </w:rPr>
              <w:t>36%</w:t>
            </w:r>
          </w:p>
        </w:tc>
      </w:tr>
    </w:tbl>
    <w:p w14:paraId="297D14C2" w14:textId="77777777" w:rsidR="00B90508" w:rsidRPr="00B90508" w:rsidRDefault="00B90508" w:rsidP="00B90508">
      <w:pPr>
        <w:spacing w:before="80" w:after="300" w:line="240" w:lineRule="auto"/>
        <w:rPr>
          <w:rFonts w:ascii="Calibri" w:eastAsia="Calibri" w:hAnsi="Calibri" w:cs="Calibri"/>
          <w:sz w:val="16"/>
          <w:szCs w:val="18"/>
        </w:rPr>
      </w:pPr>
      <w:r w:rsidRPr="00B90508">
        <w:rPr>
          <w:rFonts w:ascii="Calibri" w:eastAsia="Calibri" w:hAnsi="Calibri" w:cs="Calibri"/>
          <w:sz w:val="16"/>
          <w:szCs w:val="18"/>
        </w:rPr>
        <w:t>*No Oak Woodland habitat mapped within the following Assessment Units: Budd Inlet, Carr Inlet, Case Inlet, Harstine Island, McNeil Island</w:t>
      </w:r>
    </w:p>
    <w:p w14:paraId="3E921558"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35" w:name="_3ia8b6v1oxs0" w:colFirst="0" w:colLast="0"/>
      <w:bookmarkStart w:id="236" w:name="_Toc463000005"/>
      <w:bookmarkEnd w:id="235"/>
      <w:r w:rsidRPr="00B90508">
        <w:rPr>
          <w:rFonts w:asciiTheme="majorHAnsi" w:eastAsiaTheme="majorEastAsia" w:hAnsiTheme="majorHAnsi" w:cstheme="majorBidi"/>
          <w:color w:val="2B5A8E"/>
          <w:sz w:val="32"/>
          <w:szCs w:val="32"/>
          <w:u w:color="33CC33"/>
        </w:rPr>
        <w:t>Strategies, Existing Programs, and Actions</w:t>
      </w:r>
      <w:bookmarkEnd w:id="236"/>
    </w:p>
    <w:p w14:paraId="054993A9" w14:textId="77777777" w:rsidR="00B90508" w:rsidRPr="00B90508" w:rsidRDefault="00B90508" w:rsidP="00B90508">
      <w:pPr>
        <w:spacing w:line="276" w:lineRule="auto"/>
        <w:rPr>
          <w:rFonts w:eastAsiaTheme="minorEastAsia"/>
        </w:rPr>
      </w:pPr>
      <w:r w:rsidRPr="00B90508">
        <w:rPr>
          <w:rFonts w:eastAsia="Calibri"/>
        </w:rPr>
        <w:t>Strategies to address native prairie and oak woodlands focus on:</w:t>
      </w:r>
    </w:p>
    <w:p w14:paraId="72B260D4" w14:textId="77777777" w:rsidR="00B90508" w:rsidRPr="00B90508" w:rsidRDefault="00B90508" w:rsidP="00B90508">
      <w:pPr>
        <w:numPr>
          <w:ilvl w:val="0"/>
          <w:numId w:val="41"/>
        </w:numPr>
        <w:spacing w:after="120" w:line="276" w:lineRule="auto"/>
        <w:contextualSpacing/>
        <w:rPr>
          <w:rFonts w:ascii="Calibri" w:eastAsia="Calibri" w:hAnsi="Calibri" w:cs="Calibri"/>
        </w:rPr>
      </w:pPr>
      <w:r w:rsidRPr="00B90508">
        <w:rPr>
          <w:rFonts w:ascii="Calibri" w:eastAsia="Calibri" w:hAnsi="Calibri" w:cs="Calibri"/>
        </w:rPr>
        <w:t>Direct protection of intact areas (e.g., through acquisition and transfer/purchase of development rights programs);</w:t>
      </w:r>
    </w:p>
    <w:p w14:paraId="4039AC30" w14:textId="77777777" w:rsidR="00B90508" w:rsidRPr="00B90508" w:rsidRDefault="00B90508" w:rsidP="00B90508">
      <w:pPr>
        <w:numPr>
          <w:ilvl w:val="0"/>
          <w:numId w:val="41"/>
        </w:numPr>
        <w:spacing w:after="120" w:line="276" w:lineRule="auto"/>
        <w:contextualSpacing/>
        <w:rPr>
          <w:rFonts w:ascii="Calibri" w:eastAsia="Calibri" w:hAnsi="Calibri" w:cs="Calibri"/>
        </w:rPr>
      </w:pPr>
      <w:r w:rsidRPr="00B90508">
        <w:rPr>
          <w:rFonts w:ascii="Calibri" w:eastAsia="Calibri" w:hAnsi="Calibri" w:cs="Calibri"/>
        </w:rPr>
        <w:t>Support and implementation of land management plans (e.g., direct actions such as controlled burns);</w:t>
      </w:r>
    </w:p>
    <w:p w14:paraId="7F8F7AFC" w14:textId="77777777" w:rsidR="00B90508" w:rsidRPr="00B90508" w:rsidRDefault="00B90508" w:rsidP="00B90508">
      <w:pPr>
        <w:numPr>
          <w:ilvl w:val="0"/>
          <w:numId w:val="41"/>
        </w:numPr>
        <w:spacing w:after="120" w:line="276" w:lineRule="auto"/>
        <w:contextualSpacing/>
        <w:rPr>
          <w:rFonts w:ascii="Calibri" w:eastAsia="Calibri" w:hAnsi="Calibri" w:cs="Calibri"/>
        </w:rPr>
      </w:pPr>
      <w:r w:rsidRPr="00B90508">
        <w:rPr>
          <w:rFonts w:ascii="Calibri" w:eastAsia="Calibri" w:hAnsi="Calibri" w:cs="Calibri"/>
        </w:rPr>
        <w:lastRenderedPageBreak/>
        <w:t>Local policies and regulations such as comprehensive plans and critical area ordinances; and</w:t>
      </w:r>
    </w:p>
    <w:p w14:paraId="3E6E15AD" w14:textId="77777777" w:rsidR="00B90508" w:rsidRPr="00B90508" w:rsidRDefault="00B90508" w:rsidP="00DB2B36">
      <w:pPr>
        <w:numPr>
          <w:ilvl w:val="0"/>
          <w:numId w:val="30"/>
        </w:numPr>
        <w:spacing w:line="276" w:lineRule="auto"/>
        <w:rPr>
          <w:rFonts w:ascii="Calibri" w:eastAsia="Calibri" w:hAnsi="Calibri" w:cs="Calibri"/>
        </w:rPr>
      </w:pPr>
      <w:r w:rsidRPr="00B90508">
        <w:rPr>
          <w:rFonts w:ascii="Calibri" w:eastAsia="Calibri" w:hAnsi="Calibri" w:cs="Calibri"/>
        </w:rPr>
        <w:t xml:space="preserve">Work with a wide variety of partners to restore specific habitats through invasive species removal </w:t>
      </w:r>
      <w:r w:rsidRPr="00DB2B36">
        <w:rPr>
          <w:rFonts w:eastAsiaTheme="minorEastAsia"/>
        </w:rPr>
        <w:t>and</w:t>
      </w:r>
      <w:r w:rsidRPr="00B90508">
        <w:rPr>
          <w:rFonts w:ascii="Calibri" w:eastAsia="Calibri" w:hAnsi="Calibri" w:cs="Calibri"/>
        </w:rPr>
        <w:t xml:space="preserve"> native plant establishment.</w:t>
      </w:r>
    </w:p>
    <w:p w14:paraId="204258B4" w14:textId="77777777" w:rsidR="00B90508" w:rsidRPr="00B90508" w:rsidRDefault="00B90508" w:rsidP="00B90508">
      <w:pPr>
        <w:spacing w:line="276" w:lineRule="auto"/>
        <w:rPr>
          <w:rFonts w:eastAsiaTheme="minorEastAsia"/>
        </w:rPr>
      </w:pPr>
      <w:bookmarkStart w:id="237" w:name="_bzlzj4gbchyx" w:colFirst="0" w:colLast="0"/>
      <w:bookmarkEnd w:id="237"/>
      <w:r w:rsidRPr="00B90508">
        <w:rPr>
          <w:rFonts w:eastAsia="Calibri"/>
        </w:rPr>
        <w:t>In the fast-growing South Sound, significant effort also is oriented towards ensuring stewardship of rural and working lands (including working forests) for continued benefit of people and ecosystem processes and functions, protecting remaining intact critical areas, and encouraging compact, urban growth. The Center for Natural Lands Management, Joint Base Lewis-McChord (JBLM), and Thurston County are all working on protection and restoration of South Sound prairies and oak woodlands. Information on these organizations’ programs is provided below.</w:t>
      </w:r>
    </w:p>
    <w:p w14:paraId="2C51B67A"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238" w:name="_4bey907m921g" w:colFirst="0" w:colLast="0"/>
      <w:bookmarkEnd w:id="238"/>
      <w:r w:rsidRPr="00B90508">
        <w:rPr>
          <w:rFonts w:eastAsiaTheme="majorEastAsia" w:cstheme="minorHAnsi"/>
          <w:b/>
          <w:color w:val="595959" w:themeColor="text1" w:themeTint="A6"/>
          <w:sz w:val="24"/>
          <w:szCs w:val="28"/>
        </w:rPr>
        <w:t>Thurston County Prairie HCP</w:t>
      </w:r>
    </w:p>
    <w:p w14:paraId="55D22BED" w14:textId="77777777" w:rsidR="00B90508" w:rsidRPr="00B90508" w:rsidRDefault="00B90508" w:rsidP="00B90508">
      <w:pPr>
        <w:spacing w:line="276" w:lineRule="auto"/>
        <w:rPr>
          <w:rFonts w:eastAsiaTheme="minorEastAsia"/>
        </w:rPr>
      </w:pPr>
      <w:r w:rsidRPr="00B90508">
        <w:rPr>
          <w:rFonts w:eastAsia="Calibri"/>
        </w:rPr>
        <w:t>Thurston County is developing a Prairie Habitat Conservation Plan (Prairie HCP) in response to recent species listings under the Endangered Species Act (</w:t>
      </w:r>
      <w:hyperlink r:id="rId84">
        <w:r w:rsidRPr="00B90508">
          <w:rPr>
            <w:rFonts w:eastAsiaTheme="minorEastAsia"/>
            <w:color w:val="2B5A8E"/>
            <w:u w:val="single"/>
          </w:rPr>
          <w:t>link</w:t>
        </w:r>
      </w:hyperlink>
      <w:r w:rsidRPr="00B90508">
        <w:rPr>
          <w:rFonts w:eastAsia="Calibri"/>
        </w:rPr>
        <w:t>) of Mazama pocket gopher, streaked horned lark, Oregon spotted frog, and Taylor’s checkerspot butterfly. The Prairie HCP will describe Thurston County’s efforts to mitigate impacts of development on prairie habitat. Thurston County anticipates that the HCP will be ready for review and comment in 2016. The Thurston County Prairie HCP includes four conservation strategies:</w:t>
      </w:r>
    </w:p>
    <w:p w14:paraId="7AEC197B" w14:textId="77777777" w:rsidR="00B90508" w:rsidRPr="00DB2B36" w:rsidRDefault="00B90508" w:rsidP="00DB2B36">
      <w:pPr>
        <w:pStyle w:val="ListParagraph"/>
        <w:numPr>
          <w:ilvl w:val="0"/>
          <w:numId w:val="61"/>
        </w:numPr>
        <w:spacing w:after="120" w:line="276" w:lineRule="auto"/>
        <w:ind w:left="720" w:hanging="360"/>
        <w:rPr>
          <w:rFonts w:ascii="Calibri" w:eastAsia="Calibri" w:hAnsi="Calibri" w:cs="Calibri"/>
        </w:rPr>
      </w:pPr>
      <w:r w:rsidRPr="00DB2B36">
        <w:rPr>
          <w:rFonts w:ascii="Calibri" w:eastAsia="Calibri" w:hAnsi="Calibri" w:cs="Calibri"/>
          <w:b/>
        </w:rPr>
        <w:t>Avoidance</w:t>
      </w:r>
      <w:r w:rsidRPr="00DB2B36">
        <w:rPr>
          <w:rFonts w:ascii="Calibri" w:eastAsia="Calibri" w:hAnsi="Calibri" w:cs="Calibri"/>
        </w:rPr>
        <w:t>. This include facilitating protection of conservation lands and use of best management practices.</w:t>
      </w:r>
    </w:p>
    <w:p w14:paraId="4E9A8396" w14:textId="77777777" w:rsidR="00B90508" w:rsidRPr="00DB2B36" w:rsidRDefault="00B90508" w:rsidP="00DB2B36">
      <w:pPr>
        <w:pStyle w:val="ListParagraph"/>
        <w:numPr>
          <w:ilvl w:val="0"/>
          <w:numId w:val="61"/>
        </w:numPr>
        <w:spacing w:after="120" w:line="276" w:lineRule="auto"/>
        <w:ind w:left="720" w:hanging="360"/>
        <w:rPr>
          <w:rFonts w:ascii="Calibri" w:eastAsia="Calibri" w:hAnsi="Calibri" w:cs="Calibri"/>
        </w:rPr>
      </w:pPr>
      <w:r w:rsidRPr="00DB2B36">
        <w:rPr>
          <w:rFonts w:ascii="Calibri" w:eastAsia="Calibri" w:hAnsi="Calibri" w:cs="Calibri"/>
          <w:b/>
        </w:rPr>
        <w:t>New Conservation Lands</w:t>
      </w:r>
      <w:r w:rsidRPr="00DB2B36">
        <w:rPr>
          <w:rFonts w:ascii="Calibri" w:eastAsia="Calibri" w:hAnsi="Calibri" w:cs="Calibri"/>
        </w:rPr>
        <w:t>. Habitat protection, enhancement and maintenance through a third party conservation entity (e.g., a land trust) or through conservation easement.</w:t>
      </w:r>
    </w:p>
    <w:p w14:paraId="18B6EDBB" w14:textId="77777777" w:rsidR="00B90508" w:rsidRPr="00DB2B36" w:rsidRDefault="00B90508" w:rsidP="00DB2B36">
      <w:pPr>
        <w:pStyle w:val="ListParagraph"/>
        <w:numPr>
          <w:ilvl w:val="0"/>
          <w:numId w:val="61"/>
        </w:numPr>
        <w:spacing w:after="120" w:line="276" w:lineRule="auto"/>
        <w:ind w:left="720" w:hanging="360"/>
        <w:rPr>
          <w:rFonts w:ascii="Calibri" w:eastAsia="Calibri" w:hAnsi="Calibri" w:cs="Calibri"/>
        </w:rPr>
      </w:pPr>
      <w:r w:rsidRPr="00DB2B36">
        <w:rPr>
          <w:rFonts w:ascii="Calibri" w:eastAsia="Calibri" w:hAnsi="Calibri" w:cs="Calibri"/>
          <w:b/>
        </w:rPr>
        <w:t>Working Lands Outreach</w:t>
      </w:r>
      <w:r w:rsidRPr="00DB2B36">
        <w:rPr>
          <w:rFonts w:ascii="Calibri" w:eastAsia="Calibri" w:hAnsi="Calibri" w:cs="Calibri"/>
        </w:rPr>
        <w:t>. Entering into voluntary working lands stewardship agreements, neighboring landowner assurances, and providing outreach and education.</w:t>
      </w:r>
    </w:p>
    <w:p w14:paraId="3CCAE96A" w14:textId="77777777" w:rsidR="00B90508" w:rsidRPr="00DB2B36" w:rsidRDefault="00B90508" w:rsidP="00DB2B36">
      <w:pPr>
        <w:pStyle w:val="ListParagraph"/>
        <w:numPr>
          <w:ilvl w:val="0"/>
          <w:numId w:val="61"/>
        </w:numPr>
        <w:spacing w:after="120" w:line="276" w:lineRule="auto"/>
        <w:ind w:left="720" w:hanging="360"/>
        <w:rPr>
          <w:rFonts w:ascii="Calibri" w:eastAsia="Calibri" w:hAnsi="Calibri" w:cs="Calibri"/>
        </w:rPr>
      </w:pPr>
      <w:r w:rsidRPr="00DB2B36">
        <w:rPr>
          <w:rFonts w:ascii="Calibri" w:eastAsia="Calibri" w:hAnsi="Calibri" w:cs="Calibri"/>
          <w:b/>
        </w:rPr>
        <w:t>Legacy Land Support</w:t>
      </w:r>
      <w:r w:rsidRPr="00DB2B36">
        <w:rPr>
          <w:rFonts w:ascii="Calibri" w:eastAsia="Calibri" w:hAnsi="Calibri" w:cs="Calibri"/>
        </w:rPr>
        <w:t>. Providing habitat enhancement and maintenance endowments for lands already under protection.</w:t>
      </w:r>
    </w:p>
    <w:p w14:paraId="4F69501D" w14:textId="77777777" w:rsidR="00B90508" w:rsidRPr="00B90508" w:rsidRDefault="00B90508" w:rsidP="00B90508">
      <w:pPr>
        <w:spacing w:line="276" w:lineRule="auto"/>
        <w:rPr>
          <w:rFonts w:eastAsiaTheme="minorEastAsia"/>
        </w:rPr>
      </w:pPr>
      <w:r w:rsidRPr="00B90508">
        <w:rPr>
          <w:rFonts w:ascii="Calibri" w:eastAsia="Calibri" w:hAnsi="Calibri" w:cs="Calibri"/>
        </w:rPr>
        <w:t>The draft Prairie HCP estimates that development in unincorporated Thurston County during the next 30 years will occur on approximately 18,000 acres of prairie habitat. However, since development will occur largely on low-quality prairie habitat, the HCP targets approximately 7,500 acres of functional/high quality prairie habitat for conservation. The HCP separates these acres as follows:</w:t>
      </w:r>
    </w:p>
    <w:p w14:paraId="163342C0" w14:textId="77777777" w:rsidR="00B90508" w:rsidRPr="00B90508" w:rsidRDefault="00B90508" w:rsidP="00B90508">
      <w:pPr>
        <w:spacing w:line="276" w:lineRule="auto"/>
        <w:rPr>
          <w:rFonts w:eastAsiaTheme="minorEastAsia"/>
        </w:rPr>
      </w:pPr>
    </w:p>
    <w:tbl>
      <w:tblPr>
        <w:tblStyle w:val="TableGrid1"/>
        <w:tblW w:w="4950" w:type="dxa"/>
        <w:jc w:val="center"/>
        <w:tblLayout w:type="fixed"/>
        <w:tblCellMar>
          <w:top w:w="43" w:type="dxa"/>
          <w:left w:w="43" w:type="dxa"/>
          <w:bottom w:w="43" w:type="dxa"/>
          <w:right w:w="43" w:type="dxa"/>
        </w:tblCellMar>
        <w:tblLook w:val="0600" w:firstRow="0" w:lastRow="0" w:firstColumn="0" w:lastColumn="0" w:noHBand="1" w:noVBand="1"/>
      </w:tblPr>
      <w:tblGrid>
        <w:gridCol w:w="3435"/>
        <w:gridCol w:w="1515"/>
      </w:tblGrid>
      <w:tr w:rsidR="00B90508" w:rsidRPr="00B90508" w14:paraId="16A6187E" w14:textId="77777777" w:rsidTr="00B90508">
        <w:trPr>
          <w:jc w:val="center"/>
        </w:trPr>
        <w:tc>
          <w:tcPr>
            <w:tcW w:w="3435" w:type="dxa"/>
            <w:shd w:val="clear" w:color="auto" w:fill="D9D9D9" w:themeFill="background1" w:themeFillShade="D9"/>
            <w:vAlign w:val="center"/>
          </w:tcPr>
          <w:p w14:paraId="47948DE6" w14:textId="77777777" w:rsidR="00B90508" w:rsidRPr="00B90508" w:rsidRDefault="00B90508" w:rsidP="00B90508">
            <w:pPr>
              <w:jc w:val="center"/>
              <w:rPr>
                <w:b/>
                <w:sz w:val="20"/>
                <w:szCs w:val="20"/>
              </w:rPr>
            </w:pPr>
            <w:r w:rsidRPr="00B90508">
              <w:rPr>
                <w:b/>
                <w:sz w:val="20"/>
                <w:szCs w:val="20"/>
              </w:rPr>
              <w:t>Strategy</w:t>
            </w:r>
          </w:p>
        </w:tc>
        <w:tc>
          <w:tcPr>
            <w:tcW w:w="1515" w:type="dxa"/>
            <w:shd w:val="clear" w:color="auto" w:fill="D9D9D9" w:themeFill="background1" w:themeFillShade="D9"/>
            <w:vAlign w:val="center"/>
          </w:tcPr>
          <w:p w14:paraId="29149BB4" w14:textId="77777777" w:rsidR="00B90508" w:rsidRPr="00B90508" w:rsidRDefault="00B90508" w:rsidP="00B90508">
            <w:pPr>
              <w:jc w:val="center"/>
              <w:rPr>
                <w:b/>
                <w:sz w:val="20"/>
                <w:szCs w:val="20"/>
              </w:rPr>
            </w:pPr>
            <w:r w:rsidRPr="00B90508">
              <w:rPr>
                <w:b/>
                <w:sz w:val="20"/>
                <w:szCs w:val="20"/>
              </w:rPr>
              <w:t>Acres</w:t>
            </w:r>
          </w:p>
        </w:tc>
      </w:tr>
      <w:tr w:rsidR="00B90508" w:rsidRPr="00B90508" w14:paraId="600A4477" w14:textId="77777777" w:rsidTr="00B90508">
        <w:trPr>
          <w:jc w:val="center"/>
        </w:trPr>
        <w:tc>
          <w:tcPr>
            <w:tcW w:w="3435" w:type="dxa"/>
          </w:tcPr>
          <w:p w14:paraId="7D0653EA" w14:textId="77777777" w:rsidR="00B90508" w:rsidRPr="00B90508" w:rsidRDefault="00B90508" w:rsidP="00B90508">
            <w:pPr>
              <w:rPr>
                <w:sz w:val="20"/>
                <w:szCs w:val="20"/>
              </w:rPr>
            </w:pPr>
            <w:r w:rsidRPr="00B90508">
              <w:rPr>
                <w:sz w:val="20"/>
                <w:szCs w:val="20"/>
              </w:rPr>
              <w:t>Avoidance (minimizing impacts)</w:t>
            </w:r>
          </w:p>
        </w:tc>
        <w:tc>
          <w:tcPr>
            <w:tcW w:w="1515" w:type="dxa"/>
          </w:tcPr>
          <w:p w14:paraId="76CE3669" w14:textId="77777777" w:rsidR="00B90508" w:rsidRPr="00B90508" w:rsidRDefault="00B90508" w:rsidP="00B90508">
            <w:pPr>
              <w:rPr>
                <w:sz w:val="20"/>
                <w:szCs w:val="20"/>
              </w:rPr>
            </w:pPr>
            <w:r w:rsidRPr="00B90508">
              <w:rPr>
                <w:sz w:val="20"/>
                <w:szCs w:val="20"/>
              </w:rPr>
              <w:t>3,000</w:t>
            </w:r>
          </w:p>
        </w:tc>
      </w:tr>
      <w:tr w:rsidR="00B90508" w:rsidRPr="00B90508" w14:paraId="1B8C7606" w14:textId="77777777" w:rsidTr="00B90508">
        <w:trPr>
          <w:jc w:val="center"/>
        </w:trPr>
        <w:tc>
          <w:tcPr>
            <w:tcW w:w="3435" w:type="dxa"/>
          </w:tcPr>
          <w:p w14:paraId="04F17FD9" w14:textId="77777777" w:rsidR="00B90508" w:rsidRPr="00B90508" w:rsidRDefault="00B90508" w:rsidP="00B90508">
            <w:pPr>
              <w:rPr>
                <w:sz w:val="20"/>
                <w:szCs w:val="20"/>
              </w:rPr>
            </w:pPr>
            <w:r w:rsidRPr="00B90508">
              <w:rPr>
                <w:sz w:val="20"/>
                <w:szCs w:val="20"/>
              </w:rPr>
              <w:t>New Conservation Lands</w:t>
            </w:r>
          </w:p>
        </w:tc>
        <w:tc>
          <w:tcPr>
            <w:tcW w:w="1515" w:type="dxa"/>
          </w:tcPr>
          <w:p w14:paraId="3FC2498D" w14:textId="77777777" w:rsidR="00B90508" w:rsidRPr="00B90508" w:rsidRDefault="00B90508" w:rsidP="00B90508">
            <w:pPr>
              <w:rPr>
                <w:sz w:val="20"/>
                <w:szCs w:val="20"/>
              </w:rPr>
            </w:pPr>
            <w:r w:rsidRPr="00B90508">
              <w:rPr>
                <w:sz w:val="20"/>
                <w:szCs w:val="20"/>
              </w:rPr>
              <w:t>3,130</w:t>
            </w:r>
          </w:p>
        </w:tc>
      </w:tr>
      <w:tr w:rsidR="00B90508" w:rsidRPr="00B90508" w14:paraId="373640D1" w14:textId="77777777" w:rsidTr="00B90508">
        <w:trPr>
          <w:jc w:val="center"/>
        </w:trPr>
        <w:tc>
          <w:tcPr>
            <w:tcW w:w="3435" w:type="dxa"/>
          </w:tcPr>
          <w:p w14:paraId="769888D0" w14:textId="77777777" w:rsidR="00B90508" w:rsidRPr="00B90508" w:rsidRDefault="00B90508" w:rsidP="00B90508">
            <w:pPr>
              <w:rPr>
                <w:sz w:val="20"/>
                <w:szCs w:val="20"/>
              </w:rPr>
            </w:pPr>
            <w:r w:rsidRPr="00B90508">
              <w:rPr>
                <w:sz w:val="20"/>
                <w:szCs w:val="20"/>
              </w:rPr>
              <w:t>Working Lands</w:t>
            </w:r>
          </w:p>
        </w:tc>
        <w:tc>
          <w:tcPr>
            <w:tcW w:w="1515" w:type="dxa"/>
          </w:tcPr>
          <w:p w14:paraId="54C57C16" w14:textId="77777777" w:rsidR="00B90508" w:rsidRPr="00B90508" w:rsidRDefault="00B90508" w:rsidP="00B90508">
            <w:pPr>
              <w:rPr>
                <w:sz w:val="20"/>
                <w:szCs w:val="20"/>
              </w:rPr>
            </w:pPr>
            <w:r w:rsidRPr="00B90508">
              <w:rPr>
                <w:sz w:val="20"/>
                <w:szCs w:val="20"/>
              </w:rPr>
              <w:t>500</w:t>
            </w:r>
          </w:p>
        </w:tc>
      </w:tr>
      <w:tr w:rsidR="00B90508" w:rsidRPr="00B90508" w14:paraId="63584550" w14:textId="77777777" w:rsidTr="00B90508">
        <w:trPr>
          <w:jc w:val="center"/>
        </w:trPr>
        <w:tc>
          <w:tcPr>
            <w:tcW w:w="3435" w:type="dxa"/>
          </w:tcPr>
          <w:p w14:paraId="37617030" w14:textId="77777777" w:rsidR="00B90508" w:rsidRPr="00B90508" w:rsidRDefault="00B90508" w:rsidP="00B90508">
            <w:pPr>
              <w:rPr>
                <w:sz w:val="20"/>
                <w:szCs w:val="20"/>
              </w:rPr>
            </w:pPr>
            <w:r w:rsidRPr="00B90508">
              <w:rPr>
                <w:sz w:val="20"/>
                <w:szCs w:val="20"/>
              </w:rPr>
              <w:t>Legacy Land Support</w:t>
            </w:r>
          </w:p>
        </w:tc>
        <w:tc>
          <w:tcPr>
            <w:tcW w:w="1515" w:type="dxa"/>
          </w:tcPr>
          <w:p w14:paraId="3019A83F" w14:textId="77777777" w:rsidR="00B90508" w:rsidRPr="00B90508" w:rsidRDefault="00B90508" w:rsidP="00B90508">
            <w:pPr>
              <w:rPr>
                <w:sz w:val="20"/>
                <w:szCs w:val="20"/>
              </w:rPr>
            </w:pPr>
            <w:r w:rsidRPr="00B90508">
              <w:rPr>
                <w:sz w:val="20"/>
                <w:szCs w:val="20"/>
              </w:rPr>
              <w:t>1,000</w:t>
            </w:r>
          </w:p>
        </w:tc>
      </w:tr>
      <w:tr w:rsidR="00B90508" w:rsidRPr="00B90508" w14:paraId="607A14F0" w14:textId="77777777" w:rsidTr="00B90508">
        <w:trPr>
          <w:jc w:val="center"/>
        </w:trPr>
        <w:tc>
          <w:tcPr>
            <w:tcW w:w="3435" w:type="dxa"/>
          </w:tcPr>
          <w:p w14:paraId="4C67F264" w14:textId="77777777" w:rsidR="00B90508" w:rsidRPr="00B90508" w:rsidRDefault="00B90508" w:rsidP="00B90508">
            <w:pPr>
              <w:ind w:right="144"/>
              <w:jc w:val="right"/>
              <w:rPr>
                <w:b/>
                <w:sz w:val="20"/>
                <w:szCs w:val="20"/>
              </w:rPr>
            </w:pPr>
            <w:r w:rsidRPr="00B90508">
              <w:rPr>
                <w:b/>
                <w:sz w:val="20"/>
                <w:szCs w:val="20"/>
              </w:rPr>
              <w:t xml:space="preserve">Total </w:t>
            </w:r>
          </w:p>
        </w:tc>
        <w:tc>
          <w:tcPr>
            <w:tcW w:w="1515" w:type="dxa"/>
          </w:tcPr>
          <w:p w14:paraId="4ACAC87C" w14:textId="77777777" w:rsidR="00B90508" w:rsidRPr="00B90508" w:rsidRDefault="00B90508" w:rsidP="00B90508">
            <w:pPr>
              <w:rPr>
                <w:b/>
                <w:sz w:val="20"/>
                <w:szCs w:val="20"/>
              </w:rPr>
            </w:pPr>
            <w:r w:rsidRPr="00B90508">
              <w:rPr>
                <w:b/>
                <w:sz w:val="20"/>
                <w:szCs w:val="20"/>
              </w:rPr>
              <w:t>7,630</w:t>
            </w:r>
          </w:p>
        </w:tc>
      </w:tr>
    </w:tbl>
    <w:p w14:paraId="46821780" w14:textId="77777777" w:rsidR="00B90508" w:rsidRPr="00B90508" w:rsidRDefault="00B90508" w:rsidP="00B90508">
      <w:pPr>
        <w:spacing w:before="80" w:after="300" w:line="240" w:lineRule="auto"/>
        <w:ind w:left="2232" w:right="2232"/>
        <w:rPr>
          <w:rFonts w:ascii="Calibri" w:eastAsia="Calibri" w:hAnsi="Calibri" w:cs="Calibri"/>
          <w:sz w:val="16"/>
          <w:szCs w:val="18"/>
        </w:rPr>
      </w:pPr>
      <w:r w:rsidRPr="00B90508">
        <w:rPr>
          <w:rFonts w:ascii="Calibri" w:eastAsia="Calibri" w:hAnsi="Calibri" w:cs="Calibri"/>
          <w:sz w:val="16"/>
          <w:szCs w:val="18"/>
        </w:rPr>
        <w:t>NOTE: Values presented above are draft/deliberative and subject to change in final Thurston County Prairie HCP.</w:t>
      </w:r>
    </w:p>
    <w:p w14:paraId="07CC5AF3"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239" w:name="_j8atpmchm5vq" w:colFirst="0" w:colLast="0"/>
      <w:bookmarkEnd w:id="239"/>
      <w:r w:rsidRPr="00B90508">
        <w:rPr>
          <w:rFonts w:eastAsiaTheme="majorEastAsia" w:cstheme="minorHAnsi"/>
          <w:b/>
          <w:color w:val="595959" w:themeColor="text1" w:themeTint="A6"/>
          <w:sz w:val="24"/>
          <w:szCs w:val="28"/>
        </w:rPr>
        <w:lastRenderedPageBreak/>
        <w:t>Center for Natural Lands Management</w:t>
      </w:r>
    </w:p>
    <w:p w14:paraId="45C9E0C3" w14:textId="77777777" w:rsidR="00B90508" w:rsidRPr="00B90508" w:rsidRDefault="00B90508" w:rsidP="00B90508">
      <w:pPr>
        <w:spacing w:line="276" w:lineRule="auto"/>
        <w:rPr>
          <w:rFonts w:eastAsiaTheme="minorEastAsia"/>
        </w:rPr>
      </w:pPr>
      <w:r w:rsidRPr="00B90508">
        <w:rPr>
          <w:rFonts w:ascii="Calibri" w:eastAsia="Calibri" w:hAnsi="Calibri" w:cs="Calibri"/>
        </w:rPr>
        <w:t>The Center for Natural Lands Management (CNLM) South Sound Prairies Program focuses on protection of prairies and oak woodlands. The program was operated by The Nature Conservancy until 2011, at which time it was transferred to CNLM.</w:t>
      </w:r>
    </w:p>
    <w:p w14:paraId="6CC0736D" w14:textId="77777777" w:rsidR="00B90508" w:rsidRPr="00B90508" w:rsidRDefault="00B90508" w:rsidP="00B90508">
      <w:pPr>
        <w:spacing w:line="276" w:lineRule="auto"/>
        <w:rPr>
          <w:rFonts w:eastAsiaTheme="minorEastAsia"/>
        </w:rPr>
      </w:pPr>
      <w:r w:rsidRPr="00B90508">
        <w:rPr>
          <w:rFonts w:eastAsia="Calibri"/>
        </w:rPr>
        <w:t>In 2004 The Nature Conservancy, with support from US Fish and Wildlife Service (USFWS), completed the Willamette Valley–Puget Trough–Georgia Basin (WPG) Ecoregional Assessment (</w:t>
      </w:r>
      <w:hyperlink r:id="rId85">
        <w:r w:rsidRPr="00B90508">
          <w:rPr>
            <w:rFonts w:eastAsia="Calibri"/>
            <w:color w:val="1155CC"/>
            <w:u w:val="single"/>
          </w:rPr>
          <w:t>link</w:t>
        </w:r>
      </w:hyperlink>
      <w:r w:rsidRPr="00B90508">
        <w:rPr>
          <w:rFonts w:eastAsia="Calibri"/>
        </w:rPr>
        <w:t>). The WGP notes that prairies have been heavily altered from their historic extent</w:t>
      </w:r>
      <w:r w:rsidRPr="00B90508">
        <w:rPr>
          <w:rFonts w:eastAsia="Calibri"/>
          <w:vertAlign w:val="superscript"/>
        </w:rPr>
        <w:footnoteReference w:id="1"/>
      </w:r>
      <w:r w:rsidRPr="00B90508">
        <w:rPr>
          <w:rFonts w:eastAsia="Calibri"/>
        </w:rPr>
        <w:t>, with a corresponding species loss. They suggest that both preservation and active restoration must occur. Although the WGP assessment did not attempt to identify suitable places for prairie restoration, it sets a goal for maintaining and restoring greater than 100% of all remaining prairies based on the following rationale:</w:t>
      </w:r>
    </w:p>
    <w:p w14:paraId="2E190D97" w14:textId="77777777" w:rsidR="00B90508" w:rsidRPr="00B90508" w:rsidRDefault="00B90508" w:rsidP="00B90508">
      <w:pPr>
        <w:spacing w:line="276" w:lineRule="auto"/>
        <w:ind w:left="720"/>
        <w:rPr>
          <w:rFonts w:eastAsiaTheme="minorEastAsia"/>
          <w:color w:val="2B5A8E"/>
        </w:rPr>
      </w:pPr>
      <w:r w:rsidRPr="00B90508">
        <w:rPr>
          <w:rFonts w:ascii="Calibri" w:eastAsia="Calibri" w:hAnsi="Calibri" w:cs="Calibri"/>
          <w:color w:val="2B5A8E"/>
        </w:rPr>
        <w:t>“Assuming that remaining prairies are about 2 to 4% of their historic extent, then the species/area curve predicts that between 38 to 75% of all prairie species will eventually be lost. A reduction in the current extent of prairie habitat would cause even greater species loss. Therefore, the goal for prairies was set at 100% of all that remains... Maintaining 100% of all remaining prairie is not sufficient to maintain all currently existing prairie biodiversity. Because maintaining 100% of all remaining prairie is not sufficient to sustain all existing prairie biodiversity, restoration of this ecological system is needed. In other words, the goal for prairie habitat should be greater than 100% of all remaining prairies, requiring the restoration of additional habitat to sustain a greater proportion of existing species.”</w:t>
      </w:r>
    </w:p>
    <w:p w14:paraId="122B3067" w14:textId="77777777" w:rsidR="00B90508" w:rsidRPr="00B90508" w:rsidRDefault="00B90508" w:rsidP="00B90508">
      <w:pPr>
        <w:spacing w:line="276" w:lineRule="auto"/>
        <w:rPr>
          <w:rFonts w:eastAsiaTheme="minorEastAsia"/>
        </w:rPr>
      </w:pPr>
      <w:r w:rsidRPr="00B90508">
        <w:rPr>
          <w:rFonts w:eastAsia="Calibri"/>
        </w:rPr>
        <w:t>For oak woodlands (classified as “northern oak woodlands”), the WPG sets a numerical goal for the Puget Trough section as 25% of historic extant (circa 1850). The WPG, however, notes that the numeric goals are most useful as a tool for priority-setting rather than a quantifiable estimate; protection and restoration is required to ensure that species that rely upon the various habit/ecological systems will survive over the long term.</w:t>
      </w:r>
    </w:p>
    <w:p w14:paraId="1DEC8B07"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240" w:name="_f3szvm1n3tns" w:colFirst="0" w:colLast="0"/>
      <w:bookmarkEnd w:id="240"/>
      <w:r w:rsidRPr="00B90508">
        <w:rPr>
          <w:rFonts w:eastAsiaTheme="majorEastAsia" w:cstheme="minorHAnsi"/>
          <w:b/>
          <w:color w:val="595959" w:themeColor="text1" w:themeTint="A6"/>
          <w:sz w:val="24"/>
          <w:szCs w:val="28"/>
        </w:rPr>
        <w:t>Joint Base Lewis-McChord</w:t>
      </w:r>
    </w:p>
    <w:p w14:paraId="169E5A72" w14:textId="77777777" w:rsidR="00B90508" w:rsidRPr="00B90508" w:rsidRDefault="00B90508" w:rsidP="00B90508">
      <w:pPr>
        <w:spacing w:line="276" w:lineRule="auto"/>
        <w:rPr>
          <w:rFonts w:eastAsiaTheme="minorEastAsia"/>
        </w:rPr>
      </w:pPr>
      <w:r w:rsidRPr="00B90508">
        <w:rPr>
          <w:rFonts w:eastAsia="Calibri"/>
        </w:rPr>
        <w:t>The largest and most intact prairies in the South Sound exist within the boundaries of Joint Base Lewis-McChord (JBLM) south of the City of Tacoma. The base contains over 14,000 acres of grasslands across at least 37 distinct prairie sites. As part of the Army Compatible Use Buffer (ACUB) program, JBLM staff work with USFWS staff to adapt military training programs to minimize impacts on sensitive habitats. The JBLM ACUB program helps sustain military readiness by minimizing the consequences of listing of the federal species. The ACUB program also looks at off-base property acquisitions, restoration, and direct actions to mitigate these impacts. JBLM works with multiple partners including CNLM, the Washington Departments of Fish &amp; Wildlife and Natural Resources, and Wolf Haven International. These partners have enrolled their prairie preserves in the ACUB program and the federal Department of Defense has provided support (over $16 million to date) for on-the-ground conservation actions on those preserves. This funding is essential for the initial, expensive recovery efforts for the species such as:</w:t>
      </w:r>
    </w:p>
    <w:p w14:paraId="54008527" w14:textId="77777777" w:rsidR="00B90508" w:rsidRPr="00B90508" w:rsidRDefault="00B90508" w:rsidP="00B90508">
      <w:pPr>
        <w:numPr>
          <w:ilvl w:val="0"/>
          <w:numId w:val="34"/>
        </w:numPr>
        <w:spacing w:after="120" w:line="276" w:lineRule="auto"/>
        <w:contextualSpacing/>
        <w:rPr>
          <w:rFonts w:ascii="Calibri" w:eastAsia="Calibri" w:hAnsi="Calibri" w:cs="Calibri"/>
        </w:rPr>
      </w:pPr>
      <w:r w:rsidRPr="00B90508">
        <w:rPr>
          <w:rFonts w:ascii="Calibri" w:eastAsia="Calibri" w:hAnsi="Calibri" w:cs="Calibri"/>
        </w:rPr>
        <w:lastRenderedPageBreak/>
        <w:t>Land acquisition</w:t>
      </w:r>
    </w:p>
    <w:p w14:paraId="33011CC9" w14:textId="77777777" w:rsidR="00B90508" w:rsidRPr="00B90508" w:rsidRDefault="00B90508" w:rsidP="00B90508">
      <w:pPr>
        <w:numPr>
          <w:ilvl w:val="0"/>
          <w:numId w:val="34"/>
        </w:numPr>
        <w:spacing w:after="120" w:line="276" w:lineRule="auto"/>
        <w:contextualSpacing/>
        <w:rPr>
          <w:rFonts w:ascii="Calibri" w:eastAsia="Calibri" w:hAnsi="Calibri" w:cs="Calibri"/>
        </w:rPr>
      </w:pPr>
      <w:r w:rsidRPr="00B90508">
        <w:rPr>
          <w:rFonts w:ascii="Calibri" w:eastAsia="Calibri" w:hAnsi="Calibri" w:cs="Calibri"/>
        </w:rPr>
        <w:t>Prescribed fire and controlled burns</w:t>
      </w:r>
    </w:p>
    <w:p w14:paraId="4CBA08E9" w14:textId="77777777" w:rsidR="00B90508" w:rsidRPr="00B90508" w:rsidRDefault="00B90508" w:rsidP="00B90508">
      <w:pPr>
        <w:numPr>
          <w:ilvl w:val="0"/>
          <w:numId w:val="34"/>
        </w:numPr>
        <w:spacing w:after="120" w:line="276" w:lineRule="auto"/>
        <w:contextualSpacing/>
        <w:rPr>
          <w:rFonts w:ascii="Calibri" w:eastAsia="Calibri" w:hAnsi="Calibri" w:cs="Calibri"/>
        </w:rPr>
      </w:pPr>
      <w:r w:rsidRPr="00B90508">
        <w:rPr>
          <w:rFonts w:ascii="Calibri" w:eastAsia="Calibri" w:hAnsi="Calibri" w:cs="Calibri"/>
        </w:rPr>
        <w:t>Invasive species control</w:t>
      </w:r>
    </w:p>
    <w:p w14:paraId="17F4ADD6" w14:textId="77777777" w:rsidR="00B90508" w:rsidRPr="00B90508" w:rsidRDefault="00B90508" w:rsidP="00B90508">
      <w:pPr>
        <w:numPr>
          <w:ilvl w:val="0"/>
          <w:numId w:val="34"/>
        </w:numPr>
        <w:spacing w:after="120" w:line="276" w:lineRule="auto"/>
        <w:contextualSpacing/>
        <w:rPr>
          <w:rFonts w:ascii="Calibri" w:eastAsia="Calibri" w:hAnsi="Calibri" w:cs="Calibri"/>
        </w:rPr>
      </w:pPr>
      <w:r w:rsidRPr="00B90508">
        <w:rPr>
          <w:rFonts w:ascii="Calibri" w:eastAsia="Calibri" w:hAnsi="Calibri" w:cs="Calibri"/>
        </w:rPr>
        <w:t>Native plant production and habitat enhancement</w:t>
      </w:r>
    </w:p>
    <w:p w14:paraId="20BDA065" w14:textId="77777777" w:rsidR="00B90508" w:rsidRPr="00B90508" w:rsidRDefault="00B90508" w:rsidP="00B90508">
      <w:pPr>
        <w:numPr>
          <w:ilvl w:val="0"/>
          <w:numId w:val="34"/>
        </w:numPr>
        <w:spacing w:after="120" w:line="276" w:lineRule="auto"/>
        <w:contextualSpacing/>
        <w:rPr>
          <w:rFonts w:ascii="Calibri" w:eastAsia="Calibri" w:hAnsi="Calibri" w:cs="Calibri"/>
        </w:rPr>
      </w:pPr>
      <w:r w:rsidRPr="00B90508">
        <w:rPr>
          <w:rFonts w:ascii="Calibri" w:eastAsia="Calibri" w:hAnsi="Calibri" w:cs="Calibri"/>
        </w:rPr>
        <w:t>Reintroduction to increase numbers and sizes of populations</w:t>
      </w:r>
    </w:p>
    <w:p w14:paraId="25BEF844" w14:textId="77777777" w:rsidR="00B90508" w:rsidRPr="00B90508" w:rsidRDefault="00B90508" w:rsidP="00DB2B36">
      <w:pPr>
        <w:numPr>
          <w:ilvl w:val="0"/>
          <w:numId w:val="34"/>
        </w:numPr>
        <w:spacing w:after="120" w:line="276" w:lineRule="auto"/>
        <w:rPr>
          <w:rFonts w:ascii="Calibri" w:eastAsia="Calibri" w:hAnsi="Calibri" w:cs="Calibri"/>
        </w:rPr>
      </w:pPr>
      <w:r w:rsidRPr="00B90508">
        <w:rPr>
          <w:rFonts w:ascii="Calibri" w:eastAsia="Calibri" w:hAnsi="Calibri" w:cs="Calibri"/>
        </w:rPr>
        <w:t>Research, planning, and monitoring</w:t>
      </w:r>
    </w:p>
    <w:p w14:paraId="2A471DAC" w14:textId="77777777" w:rsidR="00B90508" w:rsidRPr="00B90508" w:rsidRDefault="00B90508" w:rsidP="00B90508">
      <w:pPr>
        <w:spacing w:line="276" w:lineRule="auto"/>
        <w:rPr>
          <w:rFonts w:eastAsiaTheme="minorEastAsia"/>
        </w:rPr>
      </w:pPr>
      <w:r w:rsidRPr="00B90508">
        <w:rPr>
          <w:rFonts w:ascii="Calibri" w:eastAsia="Calibri" w:hAnsi="Calibri" w:cs="Calibri"/>
        </w:rPr>
        <w:t>In 2014, JBLM and WDFW started to collaboratively develop spatially-explicit management strategies to identify, prioritize, and plan management activities. The annual repor</w:t>
      </w:r>
      <w:r w:rsidRPr="00B90508">
        <w:rPr>
          <w:rFonts w:eastAsiaTheme="minorEastAsia"/>
        </w:rPr>
        <w:t>t (</w:t>
      </w:r>
      <w:hyperlink r:id="rId86">
        <w:r w:rsidRPr="00B90508">
          <w:rPr>
            <w:rFonts w:eastAsiaTheme="minorEastAsia"/>
            <w:color w:val="2B5A8E"/>
            <w:u w:val="single"/>
          </w:rPr>
          <w:t>link</w:t>
        </w:r>
      </w:hyperlink>
      <w:r w:rsidRPr="00B90508">
        <w:rPr>
          <w:rFonts w:eastAsiaTheme="minorEastAsia"/>
        </w:rPr>
        <w:t>) d</w:t>
      </w:r>
      <w:r w:rsidRPr="00B90508">
        <w:rPr>
          <w:rFonts w:ascii="Calibri" w:eastAsia="Calibri" w:hAnsi="Calibri" w:cs="Calibri"/>
        </w:rPr>
        <w:t>escribes habitat management actions performed on the base across 4 broad categories: Management Strategy Development, Prairie-habitat Monitoring, Prairie-habitat Enhancements, and Research.</w:t>
      </w:r>
    </w:p>
    <w:p w14:paraId="054A2894"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241" w:name="_q72cmxni809u" w:colFirst="0" w:colLast="0"/>
      <w:bookmarkEnd w:id="241"/>
      <w:r w:rsidRPr="00B90508">
        <w:rPr>
          <w:rFonts w:eastAsiaTheme="majorEastAsia" w:cstheme="minorHAnsi"/>
          <w:b/>
          <w:color w:val="595959" w:themeColor="text1" w:themeTint="A6"/>
          <w:sz w:val="24"/>
          <w:szCs w:val="28"/>
        </w:rPr>
        <w:t>AHSS Near Term Actions for Native Prairies and Oak Woodlands</w:t>
      </w:r>
    </w:p>
    <w:p w14:paraId="0903681F" w14:textId="77777777" w:rsidR="00B90508" w:rsidRPr="00B90508" w:rsidRDefault="00B90508" w:rsidP="00B90508">
      <w:pPr>
        <w:spacing w:line="276" w:lineRule="auto"/>
        <w:rPr>
          <w:rFonts w:eastAsiaTheme="minorEastAsia"/>
        </w:rPr>
      </w:pPr>
      <w:r w:rsidRPr="00B90508">
        <w:rPr>
          <w:rFonts w:ascii="Calibri" w:eastAsia="Calibri" w:hAnsi="Calibri" w:cs="Calibri"/>
        </w:rPr>
        <w:t>None of the actions recently put forward by the Alliance for inclusion in the Puget Sound Action Agenda directly addressed native prairies or oak woodlands. The Alliance expects and would support future prairie and oak woodland protection and conservation projects consistent with the restoration and protection plans developed by the key land stewards, as described above.</w:t>
      </w:r>
    </w:p>
    <w:p w14:paraId="62BE2322"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42" w:name="_3h6fzjqyblz3" w:colFirst="0" w:colLast="0"/>
      <w:bookmarkStart w:id="243" w:name="_Toc463000006"/>
      <w:bookmarkEnd w:id="242"/>
      <w:r w:rsidRPr="00B90508">
        <w:rPr>
          <w:rFonts w:asciiTheme="majorHAnsi" w:eastAsiaTheme="majorEastAsia" w:hAnsiTheme="majorHAnsi" w:cstheme="majorBidi"/>
          <w:color w:val="2B5A8E"/>
          <w:sz w:val="32"/>
          <w:szCs w:val="32"/>
          <w:u w:color="33CC33"/>
        </w:rPr>
        <w:t>Contribution to PSP Vital Signs</w:t>
      </w:r>
      <w:bookmarkEnd w:id="243"/>
    </w:p>
    <w:p w14:paraId="3356C032" w14:textId="77777777" w:rsidR="00B90508" w:rsidRPr="00B90508" w:rsidRDefault="00B90508" w:rsidP="00B90508">
      <w:pPr>
        <w:spacing w:line="276" w:lineRule="auto"/>
        <w:rPr>
          <w:rFonts w:eastAsia="Calibri"/>
        </w:rPr>
      </w:pPr>
      <w:r w:rsidRPr="00B90508">
        <w:rPr>
          <w:rFonts w:eastAsia="Calibri"/>
        </w:rPr>
        <w:t>As a South Sound focus area, prairies and oak woodlands falls under the broader PSP strategy umbrella of habitat protection and restoration and more specifically under the PSP Vital Sign for land development and cover. Three of the four indicators for land development and cover Vital Sign apply to prairie and oak woodlands: Forest loss, conversion of ecologically important lands, and growth in urban growth areas.</w:t>
      </w:r>
    </w:p>
    <w:p w14:paraId="221806C6" w14:textId="77777777" w:rsidR="00B90508" w:rsidRPr="00B90508" w:rsidRDefault="00B90508" w:rsidP="00B90508">
      <w:pPr>
        <w:rPr>
          <w:rFonts w:eastAsia="Calibri"/>
        </w:rPr>
      </w:pPr>
      <w:r w:rsidRPr="00B90508">
        <w:rPr>
          <w:rFonts w:eastAsia="Calibri"/>
        </w:rPr>
        <w:br w:type="page"/>
      </w:r>
    </w:p>
    <w:p w14:paraId="0EC88DC9"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ascii="Calibri" w:eastAsia="Calibri" w:hAnsi="Calibri" w:cs="Calibri"/>
          <w:b/>
          <w:color w:val="FFFFFF" w:themeColor="background1"/>
          <w:sz w:val="36"/>
          <w:szCs w:val="36"/>
        </w:rPr>
      </w:pPr>
      <w:bookmarkStart w:id="244" w:name="_Toc463000007"/>
      <w:r w:rsidRPr="00B90508">
        <w:rPr>
          <w:rFonts w:eastAsiaTheme="majorEastAsia" w:cstheme="minorHAnsi"/>
          <w:b/>
          <w:color w:val="FFFFFF" w:themeColor="background1"/>
          <w:sz w:val="36"/>
          <w:szCs w:val="36"/>
        </w:rPr>
        <w:lastRenderedPageBreak/>
        <w:t>Forests and Freshwater Habitats</w:t>
      </w:r>
      <w:bookmarkEnd w:id="244"/>
    </w:p>
    <w:p w14:paraId="3EF3FFCF" w14:textId="77777777" w:rsidR="00B90508" w:rsidRPr="00B90508" w:rsidRDefault="00B90508" w:rsidP="00B90508">
      <w:pPr>
        <w:keepNext/>
        <w:keepLines/>
        <w:spacing w:before="200" w:after="120" w:line="240" w:lineRule="auto"/>
        <w:outlineLvl w:val="1"/>
        <w:rPr>
          <w:rFonts w:asciiTheme="majorHAnsi" w:eastAsia="Calibri" w:hAnsiTheme="majorHAnsi" w:cstheme="majorBidi"/>
          <w:color w:val="2B5A8E"/>
          <w:sz w:val="32"/>
          <w:szCs w:val="32"/>
          <w:u w:color="33CC33"/>
        </w:rPr>
      </w:pPr>
      <w:bookmarkStart w:id="245" w:name="_Toc463000008"/>
      <w:r w:rsidRPr="00B90508">
        <w:rPr>
          <w:rFonts w:asciiTheme="majorHAnsi" w:eastAsia="Calibri" w:hAnsiTheme="majorHAnsi" w:cstheme="majorBidi"/>
          <w:color w:val="2B5A8E"/>
          <w:sz w:val="32"/>
          <w:szCs w:val="32"/>
          <w:u w:color="33CC33"/>
        </w:rPr>
        <w:t>Background</w:t>
      </w:r>
      <w:bookmarkEnd w:id="245"/>
    </w:p>
    <w:p w14:paraId="31A96CFC"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 xml:space="preserve">The South Sound is one of the fastest growing areas in the state, exceeding the State’s growth rate consistently since the 1960s. Much of the population centers on towns and cities of Shelton, Olympia, Lacey, Tumwater, Steilacoom, University Place, Lakewood, Tacoma, and DuPont, the community of Allyn, and along shorelines of the finger inlets and islands. Forest and freshwater habitats have been and continue to be impacted by varying land uses such as urban, rural and mixed use developments, commercial forestry, and tribal and non-tribal commercial shellfish industries. The loss of forest cover and degradation of freshwater habitats (such as rivers and streams) negatively affects the South Sound’s natural ability to </w:t>
      </w:r>
      <w:r w:rsidRPr="00B90508">
        <w:rPr>
          <w:rFonts w:eastAsiaTheme="minorEastAsia"/>
        </w:rPr>
        <w:t>deliver watershed functions that support freshwater systems, provide habitat for terrestrial species, and provide ecological and cultural services for humans.</w:t>
      </w:r>
    </w:p>
    <w:p w14:paraId="4BC6CFA5" w14:textId="77777777" w:rsidR="00B90508" w:rsidRPr="00B90508" w:rsidRDefault="00B90508" w:rsidP="00B90508">
      <w:pPr>
        <w:spacing w:line="276" w:lineRule="auto"/>
        <w:rPr>
          <w:rFonts w:eastAsiaTheme="minorEastAsia"/>
        </w:rPr>
      </w:pPr>
      <w:r w:rsidRPr="00B90508">
        <w:rPr>
          <w:rFonts w:eastAsia="Calibri"/>
        </w:rPr>
        <w:t>Key threats to forests and freshwater habitats include:</w:t>
      </w:r>
    </w:p>
    <w:p w14:paraId="2518CD73" w14:textId="77777777" w:rsidR="00B90508" w:rsidRPr="00B90508" w:rsidRDefault="00B90508" w:rsidP="00B90508">
      <w:pPr>
        <w:numPr>
          <w:ilvl w:val="0"/>
          <w:numId w:val="40"/>
        </w:numPr>
        <w:spacing w:line="276" w:lineRule="auto"/>
        <w:contextualSpacing/>
        <w:rPr>
          <w:rFonts w:eastAsiaTheme="minorEastAsia"/>
        </w:rPr>
      </w:pPr>
      <w:r w:rsidRPr="00B90508">
        <w:rPr>
          <w:rFonts w:ascii="Calibri" w:eastAsia="Calibri" w:hAnsi="Calibri" w:cs="Calibri"/>
        </w:rPr>
        <w:t>Conversion of land from more natural cover to housing and urban areas</w:t>
      </w:r>
    </w:p>
    <w:p w14:paraId="438E8CD1" w14:textId="77777777" w:rsidR="00B90508" w:rsidRPr="00B90508" w:rsidRDefault="00B90508" w:rsidP="00B90508">
      <w:pPr>
        <w:numPr>
          <w:ilvl w:val="0"/>
          <w:numId w:val="40"/>
        </w:numPr>
        <w:spacing w:line="276" w:lineRule="auto"/>
        <w:contextualSpacing/>
        <w:rPr>
          <w:rFonts w:eastAsiaTheme="minorEastAsia"/>
        </w:rPr>
      </w:pPr>
      <w:r w:rsidRPr="00B90508">
        <w:rPr>
          <w:rFonts w:ascii="Calibri" w:eastAsia="Calibri" w:hAnsi="Calibri" w:cs="Calibri"/>
        </w:rPr>
        <w:t>Conversion of land from more natural cover to commercial and industrial areas</w:t>
      </w:r>
    </w:p>
    <w:p w14:paraId="4EBD182C" w14:textId="77777777" w:rsidR="00B90508" w:rsidRPr="00B90508" w:rsidRDefault="00B90508" w:rsidP="00B90508">
      <w:pPr>
        <w:numPr>
          <w:ilvl w:val="0"/>
          <w:numId w:val="40"/>
        </w:numPr>
        <w:spacing w:line="276" w:lineRule="auto"/>
        <w:contextualSpacing/>
        <w:rPr>
          <w:rFonts w:eastAsiaTheme="minorEastAsia"/>
        </w:rPr>
      </w:pPr>
      <w:r w:rsidRPr="00B90508">
        <w:rPr>
          <w:rFonts w:ascii="Calibri" w:eastAsia="Calibri" w:hAnsi="Calibri" w:cs="Calibri"/>
        </w:rPr>
        <w:t>Roads and railroads (including culverts)</w:t>
      </w:r>
    </w:p>
    <w:p w14:paraId="47553F8D" w14:textId="77777777" w:rsidR="00B90508" w:rsidRPr="00B90508" w:rsidRDefault="00B90508" w:rsidP="00B90508">
      <w:pPr>
        <w:numPr>
          <w:ilvl w:val="0"/>
          <w:numId w:val="40"/>
        </w:numPr>
        <w:spacing w:line="276" w:lineRule="auto"/>
        <w:contextualSpacing/>
        <w:rPr>
          <w:rFonts w:eastAsiaTheme="minorEastAsia"/>
        </w:rPr>
      </w:pPr>
      <w:r w:rsidRPr="00B90508">
        <w:rPr>
          <w:rFonts w:ascii="Calibri" w:eastAsia="Calibri" w:hAnsi="Calibri" w:cs="Calibri"/>
        </w:rPr>
        <w:t>Dams</w:t>
      </w:r>
    </w:p>
    <w:p w14:paraId="2C73EFD2" w14:textId="77777777" w:rsidR="00B90508" w:rsidRPr="00B90508" w:rsidRDefault="00B90508" w:rsidP="00B90508">
      <w:pPr>
        <w:numPr>
          <w:ilvl w:val="0"/>
          <w:numId w:val="40"/>
        </w:numPr>
        <w:spacing w:line="276" w:lineRule="auto"/>
        <w:contextualSpacing/>
        <w:rPr>
          <w:rFonts w:eastAsiaTheme="minorEastAsia"/>
        </w:rPr>
      </w:pPr>
      <w:r w:rsidRPr="00B90508">
        <w:rPr>
          <w:rFonts w:ascii="Calibri" w:eastAsia="Calibri" w:hAnsi="Calibri" w:cs="Calibri"/>
        </w:rPr>
        <w:t>Freshwater levees, floodgates, tidegates, armoring and other shoreline alterations including freshwater infrastructure</w:t>
      </w:r>
    </w:p>
    <w:p w14:paraId="76C41ED5" w14:textId="77777777" w:rsidR="00B90508" w:rsidRPr="00B90508" w:rsidRDefault="00B90508" w:rsidP="00B90508">
      <w:pPr>
        <w:numPr>
          <w:ilvl w:val="0"/>
          <w:numId w:val="40"/>
        </w:numPr>
        <w:spacing w:line="276" w:lineRule="auto"/>
        <w:contextualSpacing/>
        <w:rPr>
          <w:rFonts w:eastAsiaTheme="minorEastAsia"/>
        </w:rPr>
      </w:pPr>
      <w:r w:rsidRPr="00B90508">
        <w:rPr>
          <w:rFonts w:ascii="Calibri" w:eastAsia="Calibri" w:hAnsi="Calibri" w:cs="Calibri"/>
        </w:rPr>
        <w:t xml:space="preserve">Tourism and recreation </w:t>
      </w:r>
    </w:p>
    <w:p w14:paraId="5CDFBF86" w14:textId="77777777" w:rsidR="00B90508" w:rsidRPr="00B90508" w:rsidRDefault="00B90508" w:rsidP="00B90508">
      <w:pPr>
        <w:numPr>
          <w:ilvl w:val="0"/>
          <w:numId w:val="40"/>
        </w:numPr>
        <w:spacing w:line="276" w:lineRule="auto"/>
        <w:contextualSpacing/>
        <w:rPr>
          <w:rFonts w:eastAsiaTheme="minorEastAsia"/>
        </w:rPr>
      </w:pPr>
      <w:r w:rsidRPr="00B90508">
        <w:rPr>
          <w:rFonts w:ascii="Calibri" w:eastAsia="Calibri" w:hAnsi="Calibri" w:cs="Calibri"/>
        </w:rPr>
        <w:t>Spread of invasive species and weeds</w:t>
      </w:r>
    </w:p>
    <w:p w14:paraId="0EC3521F" w14:textId="77777777" w:rsidR="00B90508" w:rsidRPr="00B90508" w:rsidRDefault="00B90508" w:rsidP="00DB2B36">
      <w:pPr>
        <w:numPr>
          <w:ilvl w:val="0"/>
          <w:numId w:val="34"/>
        </w:numPr>
        <w:spacing w:after="120" w:line="276" w:lineRule="auto"/>
        <w:rPr>
          <w:rFonts w:eastAsiaTheme="minorEastAsia"/>
        </w:rPr>
      </w:pPr>
      <w:r w:rsidRPr="00B90508">
        <w:rPr>
          <w:rFonts w:ascii="Calibri" w:eastAsia="Calibri" w:hAnsi="Calibri" w:cs="Calibri"/>
        </w:rPr>
        <w:t>Habitat fragmentation</w:t>
      </w:r>
    </w:p>
    <w:p w14:paraId="76322BF3"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46" w:name="_Toc463000009"/>
      <w:r w:rsidRPr="00B90508">
        <w:rPr>
          <w:rFonts w:asciiTheme="majorHAnsi" w:eastAsiaTheme="majorEastAsia" w:hAnsiTheme="majorHAnsi" w:cstheme="majorBidi"/>
          <w:color w:val="2B5A8E"/>
          <w:sz w:val="32"/>
          <w:szCs w:val="32"/>
          <w:u w:color="33CC33"/>
        </w:rPr>
        <w:t>Baseline and Status</w:t>
      </w:r>
      <w:bookmarkEnd w:id="246"/>
    </w:p>
    <w:p w14:paraId="7DCD0E6C" w14:textId="77777777" w:rsidR="00B90508" w:rsidRPr="00B90508" w:rsidRDefault="00B90508" w:rsidP="00B90508">
      <w:pPr>
        <w:spacing w:line="276" w:lineRule="auto"/>
        <w:rPr>
          <w:rFonts w:eastAsiaTheme="minorEastAsia"/>
        </w:rPr>
      </w:pPr>
      <w:r w:rsidRPr="00B90508">
        <w:rPr>
          <w:rFonts w:eastAsiaTheme="minorEastAsia"/>
        </w:rPr>
        <w:t>The Alliance identified four attributes to understand forests and freshwater habitats: forest cover, freshwater riparian vegetation, freshwater flows in rivers and small streams, and fish-passable streams (a measure of removal of barriers to fish passage). The Alliance considered attributes related to freshwater wetlands, but ultimately decided not to specify additional freshwater habitat attributes at this time. The Alliance selected water quality and macroinvertebrates as attributes that characterization the condition of freshwater habitats. The status and trends of these attributes are reported later in this document.</w:t>
      </w:r>
    </w:p>
    <w:p w14:paraId="3EAF3CE5"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Forest Cover</w:t>
      </w:r>
    </w:p>
    <w:p w14:paraId="63BFFA2D" w14:textId="77777777" w:rsidR="00B90508" w:rsidRPr="00B90508" w:rsidRDefault="00B90508" w:rsidP="00B90508">
      <w:pPr>
        <w:spacing w:line="276" w:lineRule="auto"/>
        <w:rPr>
          <w:rFonts w:eastAsiaTheme="minorEastAsia"/>
        </w:rPr>
      </w:pPr>
      <w:r w:rsidRPr="00B90508">
        <w:rPr>
          <w:rFonts w:eastAsiaTheme="minorEastAsia"/>
        </w:rPr>
        <w:t>Forest and shrub cover is critical to the health of South Sound watersheds and varies widely from the upper watersheds near Mt. Rainier down to the lowlands that are characterized by small, steep ravines that drain upland areas. Tracking changes in land cover provide a way to monitor the South Sound's success in maintaining or improving forest cover. Alliance partners anticipate work to reduce loss of vegetated land cover to developed land, and to limit the increase of impervious surfaces in specific watersheds.</w:t>
      </w:r>
    </w:p>
    <w:p w14:paraId="56ED7A25" w14:textId="77777777" w:rsidR="00B90508" w:rsidRPr="00B90508" w:rsidRDefault="00B90508" w:rsidP="00B90508">
      <w:pPr>
        <w:spacing w:after="0" w:line="240" w:lineRule="auto"/>
        <w:rPr>
          <w:rFonts w:eastAsiaTheme="minorEastAsia"/>
        </w:rPr>
      </w:pPr>
    </w:p>
    <w:p w14:paraId="6F73C98F" w14:textId="77777777" w:rsidR="00B90508" w:rsidRPr="00B90508" w:rsidRDefault="00B90508" w:rsidP="00B90508">
      <w:pPr>
        <w:spacing w:line="276" w:lineRule="auto"/>
        <w:rPr>
          <w:rFonts w:eastAsiaTheme="minorEastAsia"/>
        </w:rPr>
      </w:pPr>
      <w:r w:rsidRPr="00B90508">
        <w:rPr>
          <w:rFonts w:eastAsiaTheme="minorEastAsia"/>
        </w:rPr>
        <w:t xml:space="preserve">Forest cover is defined as deciduous, evergreen, mixed and ccrub/shrub land cover categories in </w:t>
      </w:r>
      <w:r w:rsidRPr="00B90508">
        <w:rPr>
          <w:rFonts w:ascii="Calibri" w:eastAsia="Calibri" w:hAnsi="Calibri" w:cs="Calibri"/>
        </w:rPr>
        <w:t>the NOAA Coastal Change Analysis Program (C-CAP) dataset</w:t>
      </w:r>
      <w:r w:rsidRPr="00B90508">
        <w:rPr>
          <w:rFonts w:eastAsiaTheme="minorEastAsia"/>
        </w:rPr>
        <w:t xml:space="preserve">. Large and small patches of forest and shrub vegetation occur throughout the South Sound with Harstine Island supporting the greatest proportion of forest cover (93%). The Key Peninsula and upper reaches of the Nisqually watershed also have some of the highest forest cover in the South Sound (Figure X). </w:t>
      </w:r>
    </w:p>
    <w:p w14:paraId="48087746" w14:textId="77777777" w:rsidR="00B90508" w:rsidRPr="00B90508" w:rsidRDefault="00B90508" w:rsidP="00B90508">
      <w:pPr>
        <w:spacing w:after="0" w:line="240" w:lineRule="auto"/>
        <w:jc w:val="center"/>
        <w:rPr>
          <w:rFonts w:eastAsiaTheme="minorEastAsia"/>
        </w:rPr>
      </w:pPr>
      <w:r w:rsidRPr="00B90508">
        <w:rPr>
          <w:rFonts w:eastAsiaTheme="minorEastAsia"/>
          <w:noProof/>
        </w:rPr>
        <w:drawing>
          <wp:inline distT="0" distB="0" distL="0" distR="0" wp14:anchorId="5BB0FAF8" wp14:editId="2F98F2B5">
            <wp:extent cx="5947410" cy="4723130"/>
            <wp:effectExtent l="19050" t="19050" r="15240" b="20320"/>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5947410" cy="4723130"/>
                    </a:xfrm>
                    <a:prstGeom prst="rect">
                      <a:avLst/>
                    </a:prstGeom>
                    <a:noFill/>
                    <a:ln w="3175" cmpd="sng">
                      <a:solidFill>
                        <a:srgbClr val="000000"/>
                      </a:solidFill>
                      <a:miter lim="800000"/>
                      <a:headEnd/>
                      <a:tailEnd/>
                    </a:ln>
                    <a:effectLst/>
                  </pic:spPr>
                </pic:pic>
              </a:graphicData>
            </a:graphic>
          </wp:inline>
        </w:drawing>
      </w:r>
    </w:p>
    <w:p w14:paraId="07D489E1"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Forest Cover – Existing Conditions (NOAA Coastal Change Analysis Program, 2011)</w:t>
      </w:r>
    </w:p>
    <w:p w14:paraId="7FBA4138" w14:textId="77777777" w:rsidR="00B90508" w:rsidRPr="00B90508" w:rsidRDefault="00B90508" w:rsidP="00B90508">
      <w:pPr>
        <w:spacing w:line="276" w:lineRule="auto"/>
        <w:rPr>
          <w:rFonts w:eastAsiaTheme="minorEastAsia"/>
        </w:rPr>
      </w:pPr>
      <w:r w:rsidRPr="00B90508">
        <w:rPr>
          <w:rFonts w:eastAsiaTheme="minorEastAsia"/>
        </w:rPr>
        <w:t>The following table provides a summary of forest cover within each upland assessment unit based on the 2001 and 2011 data from the NOAA C-CAP program. The far right column indicates the percent change in forest cover between 2001 and 2011. The Chambers Clover unit experienced the greatest reduction in forest cover (-5.%) and the Harstine Island and Totten &amp; Little Skookum Inlet groups experienced the least (-0.8%).</w:t>
      </w:r>
    </w:p>
    <w:p w14:paraId="2765024C"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lastRenderedPageBreak/>
        <w:t>Table X. Forest Cover by Upland Assessment Unit</w:t>
      </w:r>
    </w:p>
    <w:p w14:paraId="6915E850" w14:textId="77777777" w:rsidR="00B90508" w:rsidRPr="00B90508" w:rsidRDefault="00B90508" w:rsidP="00B90508">
      <w:pPr>
        <w:spacing w:after="360" w:line="276" w:lineRule="auto"/>
        <w:rPr>
          <w:rFonts w:eastAsiaTheme="minorEastAsia"/>
          <w:highlight w:val="yellow"/>
        </w:rPr>
      </w:pPr>
      <w:r w:rsidRPr="00B90508">
        <w:rPr>
          <w:rFonts w:eastAsiaTheme="minorEastAsia"/>
          <w:noProof/>
        </w:rPr>
        <w:drawing>
          <wp:inline distT="0" distB="0" distL="0" distR="0" wp14:anchorId="19A3D1D6" wp14:editId="3CB5CE8B">
            <wp:extent cx="5931535" cy="1812925"/>
            <wp:effectExtent l="19050" t="19050" r="12065" b="1587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31535" cy="1812925"/>
                    </a:xfrm>
                    <a:prstGeom prst="rect">
                      <a:avLst/>
                    </a:prstGeom>
                    <a:noFill/>
                    <a:ln w="3175" cmpd="sng">
                      <a:solidFill>
                        <a:srgbClr val="000000"/>
                      </a:solidFill>
                      <a:miter lim="800000"/>
                      <a:headEnd/>
                      <a:tailEnd/>
                    </a:ln>
                    <a:effectLst/>
                  </pic:spPr>
                </pic:pic>
              </a:graphicData>
            </a:graphic>
          </wp:inline>
        </w:drawing>
      </w:r>
    </w:p>
    <w:p w14:paraId="087E2294" w14:textId="77777777" w:rsidR="00B90508" w:rsidRPr="00B90508" w:rsidRDefault="00B90508" w:rsidP="00B90508">
      <w:pPr>
        <w:spacing w:line="276" w:lineRule="auto"/>
        <w:rPr>
          <w:rFonts w:eastAsiaTheme="minorEastAsia"/>
        </w:rPr>
      </w:pPr>
      <w:r w:rsidRPr="00B90508">
        <w:rPr>
          <w:rFonts w:eastAsiaTheme="minorEastAsia"/>
        </w:rPr>
        <w:t>As a complement to the forest cover information, we also evaluated impervious surfaces in South Sound, which we defined as high intensity developed, medium intensity developed, and low intensity developed land covers. Impervious surface is highest in the Chambers-Clover watershed (64%) and the watersheds that drain to Budd and Henderson inlets (51% and 32%). Figure X shows the distribution of impervious surface in the South Sound based on 2011 data.</w:t>
      </w:r>
    </w:p>
    <w:p w14:paraId="6A012F40" w14:textId="77777777" w:rsidR="00B90508" w:rsidRPr="00B90508" w:rsidRDefault="00B90508" w:rsidP="00B90508">
      <w:pPr>
        <w:spacing w:line="276" w:lineRule="auto"/>
        <w:rPr>
          <w:rFonts w:eastAsiaTheme="minorEastAsia"/>
        </w:rPr>
      </w:pPr>
      <w:r w:rsidRPr="00B90508">
        <w:rPr>
          <w:rFonts w:eastAsiaTheme="minorEastAsia"/>
          <w:noProof/>
        </w:rPr>
        <w:drawing>
          <wp:inline distT="0" distB="0" distL="0" distR="0" wp14:anchorId="25C16F22" wp14:editId="08D12D84">
            <wp:extent cx="5942330" cy="4367719"/>
            <wp:effectExtent l="19050" t="19050" r="20320" b="13970"/>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1309" t="3301" r="2158" b="1987"/>
                    <a:stretch/>
                  </pic:blipFill>
                  <pic:spPr bwMode="auto">
                    <a:xfrm>
                      <a:off x="0" y="0"/>
                      <a:ext cx="5964869" cy="4384286"/>
                    </a:xfrm>
                    <a:prstGeom prst="rect">
                      <a:avLst/>
                    </a:prstGeom>
                    <a:noFill/>
                    <a:ln w="317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4A7E9FE3"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Impervious Surface – Existing Conditions (NOAA Coastal Change Analysis Program, 2011)</w:t>
      </w:r>
    </w:p>
    <w:p w14:paraId="76C8A80B" w14:textId="77777777" w:rsidR="00B90508" w:rsidRPr="00B90508" w:rsidRDefault="00B90508" w:rsidP="00B90508">
      <w:pPr>
        <w:spacing w:line="276" w:lineRule="auto"/>
        <w:rPr>
          <w:rFonts w:eastAsiaTheme="minorEastAsia"/>
        </w:rPr>
      </w:pPr>
      <w:r w:rsidRPr="00B90508">
        <w:rPr>
          <w:rFonts w:eastAsiaTheme="minorEastAsia"/>
        </w:rPr>
        <w:lastRenderedPageBreak/>
        <w:t>Table X provides a summary of impervious surface cover within each upland assessment unit based on the 2001 and 2011 data from the NOAA C-CAP program. As above, The far right column indicates the percent change in forest cover between 2001 and 2011. The Henderson Inlet assessment unit experienced the greatest increase in impervious surface cover (+4.1%) and the Budd and Case Inlet groups experienced the least (both at +0.2%).</w:t>
      </w:r>
    </w:p>
    <w:p w14:paraId="0AE3B35F"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t>Table X. Impervious Surface Cover by Upland Assessment Unit</w:t>
      </w:r>
    </w:p>
    <w:p w14:paraId="5C650346" w14:textId="77777777" w:rsidR="00B90508" w:rsidRPr="00B90508" w:rsidRDefault="00B90508" w:rsidP="00B90508">
      <w:pPr>
        <w:spacing w:after="0" w:line="240" w:lineRule="auto"/>
        <w:jc w:val="center"/>
        <w:rPr>
          <w:rFonts w:eastAsiaTheme="minorEastAsia"/>
        </w:rPr>
      </w:pPr>
      <w:r w:rsidRPr="00B90508">
        <w:rPr>
          <w:rFonts w:eastAsiaTheme="minorEastAsia"/>
          <w:noProof/>
        </w:rPr>
        <w:drawing>
          <wp:inline distT="0" distB="0" distL="0" distR="0" wp14:anchorId="5BCBE357" wp14:editId="37DD57E6">
            <wp:extent cx="5931535" cy="1765300"/>
            <wp:effectExtent l="19050" t="19050" r="12065" b="2540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931535" cy="1765300"/>
                    </a:xfrm>
                    <a:prstGeom prst="rect">
                      <a:avLst/>
                    </a:prstGeom>
                    <a:noFill/>
                    <a:ln w="3175" cmpd="sng">
                      <a:solidFill>
                        <a:srgbClr val="000000"/>
                      </a:solidFill>
                      <a:miter lim="800000"/>
                      <a:headEnd/>
                      <a:tailEnd/>
                    </a:ln>
                    <a:effectLst/>
                  </pic:spPr>
                </pic:pic>
              </a:graphicData>
            </a:graphic>
          </wp:inline>
        </w:drawing>
      </w:r>
    </w:p>
    <w:p w14:paraId="2A3B8460" w14:textId="77777777" w:rsidR="00B90508" w:rsidRPr="00B90508" w:rsidRDefault="00B90508" w:rsidP="00B90508">
      <w:pPr>
        <w:spacing w:after="0" w:line="240" w:lineRule="auto"/>
        <w:rPr>
          <w:rFonts w:eastAsiaTheme="minorEastAsia"/>
        </w:rPr>
      </w:pPr>
    </w:p>
    <w:p w14:paraId="48521896" w14:textId="77777777" w:rsidR="00B90508" w:rsidRPr="00B90508" w:rsidRDefault="00B90508" w:rsidP="00B90508">
      <w:pPr>
        <w:keepNext/>
        <w:keepLines/>
        <w:spacing w:after="60" w:line="276" w:lineRule="auto"/>
        <w:outlineLvl w:val="3"/>
        <w:rPr>
          <w:rFonts w:asciiTheme="majorHAnsi" w:eastAsiaTheme="majorEastAsia" w:hAnsiTheme="majorHAnsi" w:cstheme="majorBidi"/>
          <w:color w:val="2E74B5" w:themeColor="accent1" w:themeShade="BF"/>
        </w:rPr>
      </w:pPr>
      <w:r w:rsidRPr="00B90508">
        <w:rPr>
          <w:rFonts w:asciiTheme="majorHAnsi" w:eastAsiaTheme="majorEastAsia" w:hAnsiTheme="majorHAnsi" w:cstheme="majorBidi"/>
          <w:color w:val="2E74B5" w:themeColor="accent1" w:themeShade="BF"/>
        </w:rPr>
        <w:t>Target for Forest Cover</w:t>
      </w:r>
    </w:p>
    <w:p w14:paraId="108617CC" w14:textId="77777777" w:rsidR="00B90508" w:rsidRPr="00B90508" w:rsidRDefault="00B90508" w:rsidP="00B90508">
      <w:pPr>
        <w:spacing w:line="276" w:lineRule="auto"/>
        <w:rPr>
          <w:rFonts w:eastAsiaTheme="minorEastAsia"/>
        </w:rPr>
      </w:pPr>
      <w:r w:rsidRPr="00B90508">
        <w:rPr>
          <w:rFonts w:eastAsiaTheme="minorEastAsia"/>
        </w:rPr>
        <w:t xml:space="preserve">The target for forest cover is based on a 2002 study (Booth et. al.) which observed that watersheds with 65% or greater forest cover were indicative of more minimally degraded downstream conditions. We focused our evaluation on subwatersheds that were near the 65% forest cover level, and looked at aerial photographs and other information, including best professional judgment, to identify subwatersheds to emphasize for restoration. We also considered the percent change in forest cover as well as impervious surface cover from 2001 to 2011 as an indication of population growth and development rates in each of the subwatersheds (at the HUC 12 unit). This analysis results in the following target: </w:t>
      </w:r>
    </w:p>
    <w:p w14:paraId="034BB6C5" w14:textId="77777777" w:rsidR="00B90508" w:rsidRPr="00B90508" w:rsidRDefault="00B90508" w:rsidP="00B90508">
      <w:pPr>
        <w:spacing w:line="276" w:lineRule="auto"/>
        <w:ind w:left="720"/>
        <w:rPr>
          <w:rFonts w:eastAsiaTheme="minorEastAsia"/>
          <w:i/>
        </w:rPr>
      </w:pPr>
      <w:r w:rsidRPr="00B90508">
        <w:rPr>
          <w:rFonts w:eastAsiaTheme="minorEastAsia"/>
          <w:i/>
          <w:color w:val="2B5A8E"/>
        </w:rPr>
        <w:t>(1) Protect and maintain forest in all of the HUC 12 assessment units (below) that have currently have greater than 65% cover, (2) Restore forest cover to above 65% in the following HUC 12 assessment units: Burley Creek-Frontal in Carr Inlet and Cranberry Creek Frontal in Oakland Bay, (3) Restore forest cover to above 60% in the lower and middle Nisqually watershed (included units: Lower Nisqually, McAllister Creek, and Middle Nisqually).</w:t>
      </w:r>
    </w:p>
    <w:p w14:paraId="0AAF45E3" w14:textId="77777777" w:rsidR="00B90508" w:rsidRPr="00B90508" w:rsidRDefault="00B90508" w:rsidP="00B90508">
      <w:pPr>
        <w:spacing w:line="276" w:lineRule="auto"/>
        <w:rPr>
          <w:rFonts w:eastAsiaTheme="minorEastAsia"/>
        </w:rPr>
      </w:pPr>
      <w:r w:rsidRPr="00B90508">
        <w:rPr>
          <w:rFonts w:eastAsiaTheme="minorEastAsia"/>
        </w:rPr>
        <w:t xml:space="preserve">Figure [] shows the upland assessment units and four categories of percent forest cover in the South Sound. </w:t>
      </w:r>
    </w:p>
    <w:p w14:paraId="0118D04A" w14:textId="77777777" w:rsidR="00B90508" w:rsidRPr="00B90508" w:rsidRDefault="00B90508" w:rsidP="00B90508">
      <w:pPr>
        <w:spacing w:line="276" w:lineRule="auto"/>
        <w:jc w:val="center"/>
        <w:rPr>
          <w:rFonts w:eastAsiaTheme="minorEastAsia"/>
        </w:rPr>
      </w:pPr>
      <w:r w:rsidRPr="00B90508">
        <w:rPr>
          <w:rFonts w:eastAsiaTheme="minorEastAsia"/>
          <w:noProof/>
        </w:rPr>
        <w:lastRenderedPageBreak/>
        <w:drawing>
          <wp:inline distT="0" distB="0" distL="0" distR="0" wp14:anchorId="4181DD7C" wp14:editId="2E1AAA1A">
            <wp:extent cx="5931535" cy="4707255"/>
            <wp:effectExtent l="19050" t="19050" r="12065" b="17145"/>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5931535" cy="4707255"/>
                    </a:xfrm>
                    <a:prstGeom prst="rect">
                      <a:avLst/>
                    </a:prstGeom>
                    <a:noFill/>
                    <a:ln w="3175" cmpd="sng">
                      <a:solidFill>
                        <a:srgbClr val="000000"/>
                      </a:solidFill>
                      <a:miter lim="800000"/>
                      <a:headEnd/>
                      <a:tailEnd/>
                    </a:ln>
                    <a:effectLst/>
                  </pic:spPr>
                </pic:pic>
              </a:graphicData>
            </a:graphic>
          </wp:inline>
        </w:drawing>
      </w:r>
    </w:p>
    <w:p w14:paraId="2FFB618B"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Percent Forest Cover by Subwatershed – Existing Conditions (NOAA Coastal Change Analysis Program, 2011)</w:t>
      </w:r>
    </w:p>
    <w:p w14:paraId="59D9E4B2" w14:textId="77777777" w:rsidR="00B90508" w:rsidRPr="00B90508" w:rsidRDefault="00B90508" w:rsidP="00B90508">
      <w:pPr>
        <w:spacing w:line="276" w:lineRule="auto"/>
        <w:rPr>
          <w:rFonts w:eastAsiaTheme="minorEastAsia"/>
        </w:rPr>
      </w:pPr>
      <w:r w:rsidRPr="00B90508">
        <w:rPr>
          <w:rFonts w:eastAsiaTheme="minorEastAsia"/>
        </w:rPr>
        <w:t xml:space="preserve">Table X provides the percent forest cover within each upland assessment unit, at the HUC 12 scale, based on the 2011 data from the NOAA C-CAP program. </w:t>
      </w:r>
    </w:p>
    <w:p w14:paraId="17275EE4"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lastRenderedPageBreak/>
        <w:t>Table X. Forest Cover by Upland Assessment Unit, HUC 12 Watershed Boundaries</w:t>
      </w:r>
    </w:p>
    <w:p w14:paraId="5C7000EE" w14:textId="77777777" w:rsidR="00B90508" w:rsidRPr="00B90508" w:rsidRDefault="00B90508" w:rsidP="00B90508">
      <w:pPr>
        <w:spacing w:after="0" w:line="240" w:lineRule="auto"/>
        <w:jc w:val="center"/>
        <w:rPr>
          <w:rFonts w:eastAsiaTheme="minorEastAsia"/>
        </w:rPr>
      </w:pPr>
      <w:r w:rsidRPr="00B90508">
        <w:rPr>
          <w:rFonts w:eastAsiaTheme="minorEastAsia"/>
          <w:noProof/>
        </w:rPr>
        <w:drawing>
          <wp:inline distT="0" distB="0" distL="0" distR="0" wp14:anchorId="4FFC68EF" wp14:editId="21526939">
            <wp:extent cx="4285615" cy="4921885"/>
            <wp:effectExtent l="19050" t="19050" r="19685" b="1206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285615" cy="4921885"/>
                    </a:xfrm>
                    <a:prstGeom prst="rect">
                      <a:avLst/>
                    </a:prstGeom>
                    <a:noFill/>
                    <a:ln w="3175" cmpd="sng">
                      <a:solidFill>
                        <a:srgbClr val="000000"/>
                      </a:solidFill>
                      <a:miter lim="800000"/>
                      <a:headEnd/>
                      <a:tailEnd/>
                    </a:ln>
                    <a:effectLst/>
                  </pic:spPr>
                </pic:pic>
              </a:graphicData>
            </a:graphic>
          </wp:inline>
        </w:drawing>
      </w:r>
    </w:p>
    <w:p w14:paraId="4FE09BD4" w14:textId="77777777" w:rsidR="00B90508" w:rsidRPr="00B90508" w:rsidRDefault="00B90508" w:rsidP="00B90508">
      <w:pPr>
        <w:spacing w:after="0" w:line="240" w:lineRule="auto"/>
        <w:jc w:val="center"/>
        <w:rPr>
          <w:rFonts w:eastAsiaTheme="minorEastAsia"/>
        </w:rPr>
      </w:pPr>
    </w:p>
    <w:p w14:paraId="76C6E708"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Freshwater Riparian Vegetation</w:t>
      </w:r>
    </w:p>
    <w:p w14:paraId="479A2800" w14:textId="77777777" w:rsidR="00B90508" w:rsidRPr="00B90508" w:rsidRDefault="00B90508" w:rsidP="00B90508">
      <w:pPr>
        <w:spacing w:line="276" w:lineRule="auto"/>
        <w:rPr>
          <w:rFonts w:eastAsiaTheme="minorEastAsia"/>
        </w:rPr>
      </w:pPr>
      <w:r w:rsidRPr="00B90508">
        <w:rPr>
          <w:rFonts w:eastAsiaTheme="minorEastAsia"/>
        </w:rPr>
        <w:t xml:space="preserve">Riparian vegetation helps to keep freshwater cool, moderate flood storage, and provide habitat critical to salmon and other terrestrial and freshwater aquatic species. Riparian vegetation also helps to filter pollutants, stabilize stream banks, and prevent erosion. Restoration of freshwater riparian vegetation has long been a priority for South Sound jurisdictions and groups and is expected to remain a priority. </w:t>
      </w:r>
    </w:p>
    <w:p w14:paraId="7FFD58D8" w14:textId="77777777" w:rsidR="00B90508" w:rsidRPr="00B90508" w:rsidRDefault="00B90508" w:rsidP="00B90508">
      <w:pPr>
        <w:spacing w:line="276" w:lineRule="auto"/>
        <w:rPr>
          <w:rFonts w:eastAsiaTheme="minorEastAsia"/>
        </w:rPr>
      </w:pPr>
      <w:r w:rsidRPr="00B90508">
        <w:rPr>
          <w:rFonts w:eastAsiaTheme="minorEastAsia"/>
        </w:rPr>
        <w:t xml:space="preserve">To evaluate the condition of riparian vegetation in each of the South Sound upland assessment units, the Alliance first identified all streams with an annual average of 20 mean cubic feet per second (CFS) or greater. We then identified all of the potential channel migration zones as mapped for the Nisqually and Deschutes Rivers. To determine the determine the amount of intact or degraded riparian vegetation, we used the NOAA C-CAP 2011 dataset and calculated the total amount of vegetation cover within a 500-foot buffer off the centerline of the streams and the edge of the channel migration zones. Based on this analysis, riparian habitat along major streams (with flow greater than 20 cfs) is the greatest and most intact in the Nisqually watershed (Figure []). </w:t>
      </w:r>
    </w:p>
    <w:p w14:paraId="3546564C" w14:textId="77777777" w:rsidR="00B90508" w:rsidRPr="00B90508" w:rsidRDefault="00B90508" w:rsidP="00B90508">
      <w:pPr>
        <w:spacing w:after="0" w:line="240" w:lineRule="auto"/>
        <w:jc w:val="center"/>
        <w:rPr>
          <w:rFonts w:ascii="Calibri" w:eastAsia="Times New Roman" w:hAnsi="Calibri" w:cs="Times New Roman"/>
          <w:color w:val="000000"/>
        </w:rPr>
      </w:pPr>
      <w:r w:rsidRPr="00B90508">
        <w:rPr>
          <w:rFonts w:ascii="Calibri" w:eastAsia="Times New Roman" w:hAnsi="Calibri" w:cs="Times New Roman"/>
          <w:noProof/>
          <w:color w:val="000000"/>
        </w:rPr>
        <w:lastRenderedPageBreak/>
        <w:drawing>
          <wp:inline distT="0" distB="0" distL="0" distR="0" wp14:anchorId="719B85B9" wp14:editId="7665F820">
            <wp:extent cx="5947410" cy="4707255"/>
            <wp:effectExtent l="19050" t="19050" r="15240" b="1714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5947410" cy="4707255"/>
                    </a:xfrm>
                    <a:prstGeom prst="rect">
                      <a:avLst/>
                    </a:prstGeom>
                    <a:noFill/>
                    <a:ln w="3175" cmpd="sng">
                      <a:solidFill>
                        <a:srgbClr val="000000"/>
                      </a:solidFill>
                      <a:miter lim="800000"/>
                      <a:headEnd/>
                      <a:tailEnd/>
                    </a:ln>
                    <a:effectLst/>
                  </pic:spPr>
                </pic:pic>
              </a:graphicData>
            </a:graphic>
          </wp:inline>
        </w:drawing>
      </w:r>
    </w:p>
    <w:p w14:paraId="666976F3"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Freshwater Riparian Vegetation – Existing Conditions (NOAA Coastal Change Analysis Program, 2011)</w:t>
      </w:r>
    </w:p>
    <w:p w14:paraId="77054435" w14:textId="77777777" w:rsidR="00B90508" w:rsidRPr="00B90508" w:rsidRDefault="00B90508" w:rsidP="00B90508">
      <w:pPr>
        <w:spacing w:line="276" w:lineRule="auto"/>
        <w:rPr>
          <w:rFonts w:eastAsiaTheme="minorEastAsia"/>
        </w:rPr>
      </w:pPr>
      <w:r w:rsidRPr="00B90508">
        <w:rPr>
          <w:rFonts w:eastAsiaTheme="minorEastAsia"/>
        </w:rPr>
        <w:t xml:space="preserve">The following table provides a summary of where freshwater riparian vegetation is most intact or degraded by upland assessment unit. Overall, the major streams in the South Sound have an average of 61% intact riparian cover. The major streams with most degraded riparian habitat cover include Sequalitchew Creek and waterbodies in the Chambers-Clover watershed. </w:t>
      </w:r>
    </w:p>
    <w:p w14:paraId="20168FBB"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t>Table X. Freshwater Riparian Vegetation by Upland Assessment Unit</w:t>
      </w:r>
    </w:p>
    <w:p w14:paraId="1C94B0C2" w14:textId="77777777" w:rsidR="00B90508" w:rsidRPr="00B90508" w:rsidRDefault="00B90508" w:rsidP="00B90508">
      <w:pPr>
        <w:spacing w:after="240" w:line="240" w:lineRule="auto"/>
        <w:jc w:val="center"/>
        <w:rPr>
          <w:rFonts w:ascii="Calibri" w:eastAsia="Times New Roman" w:hAnsi="Calibri" w:cs="Times New Roman"/>
          <w:color w:val="000000"/>
          <w:highlight w:val="yellow"/>
        </w:rPr>
      </w:pPr>
      <w:r w:rsidRPr="00B90508">
        <w:rPr>
          <w:rFonts w:eastAsiaTheme="minorEastAsia"/>
          <w:noProof/>
        </w:rPr>
        <w:drawing>
          <wp:inline distT="0" distB="0" distL="0" distR="0" wp14:anchorId="40ECCF72" wp14:editId="57DF30F0">
            <wp:extent cx="5947410" cy="1860550"/>
            <wp:effectExtent l="19050" t="19050" r="15240" b="25400"/>
            <wp:docPr id="211" name="Picture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947410" cy="1860550"/>
                    </a:xfrm>
                    <a:prstGeom prst="rect">
                      <a:avLst/>
                    </a:prstGeom>
                    <a:noFill/>
                    <a:ln w="3175" cmpd="sng">
                      <a:solidFill>
                        <a:srgbClr val="000000"/>
                      </a:solidFill>
                      <a:miter lim="800000"/>
                      <a:headEnd/>
                      <a:tailEnd/>
                    </a:ln>
                    <a:effectLst/>
                  </pic:spPr>
                </pic:pic>
              </a:graphicData>
            </a:graphic>
          </wp:inline>
        </w:drawing>
      </w:r>
    </w:p>
    <w:p w14:paraId="0F4DC252" w14:textId="77777777" w:rsidR="00B90508" w:rsidRPr="00B90508" w:rsidRDefault="00B90508" w:rsidP="00B90508">
      <w:pPr>
        <w:keepNext/>
        <w:keepLines/>
        <w:spacing w:after="60" w:line="276" w:lineRule="auto"/>
        <w:outlineLvl w:val="3"/>
        <w:rPr>
          <w:rFonts w:asciiTheme="majorHAnsi" w:eastAsiaTheme="majorEastAsia" w:hAnsiTheme="majorHAnsi" w:cstheme="majorBidi"/>
          <w:color w:val="2E74B5" w:themeColor="accent1" w:themeShade="BF"/>
        </w:rPr>
      </w:pPr>
      <w:r w:rsidRPr="00B90508">
        <w:rPr>
          <w:rFonts w:asciiTheme="majorHAnsi" w:eastAsiaTheme="majorEastAsia" w:hAnsiTheme="majorHAnsi" w:cstheme="majorBidi"/>
          <w:color w:val="2E74B5" w:themeColor="accent1" w:themeShade="BF"/>
        </w:rPr>
        <w:lastRenderedPageBreak/>
        <w:t xml:space="preserve">Target for Freshwater Riparian </w:t>
      </w:r>
    </w:p>
    <w:p w14:paraId="35246DFA" w14:textId="77777777" w:rsidR="00B90508" w:rsidRPr="00B90508" w:rsidRDefault="00B90508" w:rsidP="00B90508">
      <w:pPr>
        <w:spacing w:line="276" w:lineRule="auto"/>
        <w:rPr>
          <w:rFonts w:eastAsiaTheme="minorEastAsia"/>
        </w:rPr>
      </w:pPr>
      <w:r w:rsidRPr="00B90508">
        <w:rPr>
          <w:rFonts w:eastAsiaTheme="minorEastAsia"/>
        </w:rPr>
        <w:t xml:space="preserve">To identify a target for freshwater riparian habitat we examined the results of the Department of Ecology Puget Sound Watershed Characterization Water Flow model. This analysis evaluates the extent to which water delivery and movement processes are intact and examines loss of these processes at the subwatershed scale. It makes this evaluation on both an individual catchment basis and with respect to neighboring catchments to create “bins” of catchments that are priorities for protection, restoration, or low impact use. We overlaid the results of the Ecology water flow model results with freshewater riparian vegetation and defined the target as the intersection of freshwater riparian vegetation with priorities for protection and restoration. This results in the following target. </w:t>
      </w:r>
    </w:p>
    <w:p w14:paraId="519BCD69" w14:textId="77777777" w:rsidR="00B90508" w:rsidRPr="00B90508" w:rsidRDefault="00B90508" w:rsidP="00B90508">
      <w:pPr>
        <w:spacing w:line="276" w:lineRule="auto"/>
        <w:ind w:left="720"/>
        <w:rPr>
          <w:rFonts w:eastAsiaTheme="minorEastAsia"/>
          <w:i/>
          <w:color w:val="2B5A8E"/>
        </w:rPr>
      </w:pPr>
      <w:r w:rsidRPr="00B90508">
        <w:rPr>
          <w:rFonts w:eastAsiaTheme="minorEastAsia"/>
          <w:i/>
          <w:color w:val="2B5A8E"/>
        </w:rPr>
        <w:t>(1) Protect all intact fresh water riparian habitat in areas identified for protection or restoration in the Ecology water flow analysis, 25,664 acres; and (2) restore 5,197 acres of fresh water riparian habitat in areas identified for protection or restoration in the Ecology water flow analysis.</w:t>
      </w:r>
    </w:p>
    <w:p w14:paraId="61241AD2" w14:textId="77777777" w:rsidR="00B90508" w:rsidRPr="00B90508" w:rsidRDefault="00B90508" w:rsidP="00B90508">
      <w:pPr>
        <w:spacing w:line="276" w:lineRule="auto"/>
        <w:rPr>
          <w:rFonts w:eastAsiaTheme="minorEastAsia"/>
        </w:rPr>
      </w:pPr>
      <w:r w:rsidRPr="00B90508">
        <w:rPr>
          <w:rFonts w:eastAsiaTheme="minorEastAsia"/>
        </w:rPr>
        <w:t xml:space="preserve">Figure [] shows the results of the Ecology Watershed Characterization water flow analysis for all of the South Sound. Figure [] show the freshwater riparian target. </w:t>
      </w:r>
    </w:p>
    <w:p w14:paraId="4125D6C9" w14:textId="77777777" w:rsidR="00B90508" w:rsidRPr="00B90508" w:rsidRDefault="00B90508" w:rsidP="00B90508">
      <w:pPr>
        <w:keepNext/>
        <w:spacing w:after="0" w:line="276" w:lineRule="auto"/>
        <w:jc w:val="center"/>
        <w:rPr>
          <w:rFonts w:eastAsiaTheme="minorEastAsia"/>
        </w:rPr>
      </w:pPr>
      <w:r w:rsidRPr="00B90508">
        <w:rPr>
          <w:rFonts w:eastAsiaTheme="minorEastAsia"/>
          <w:noProof/>
        </w:rPr>
        <w:drawing>
          <wp:inline distT="0" distB="0" distL="0" distR="0" wp14:anchorId="28654FF0" wp14:editId="51B8817A">
            <wp:extent cx="5943600" cy="4620639"/>
            <wp:effectExtent l="19050" t="19050" r="19050" b="27940"/>
            <wp:docPr id="212" name="Picture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1476" t="3307" r="1260" b="1413"/>
                    <a:stretch/>
                  </pic:blipFill>
                  <pic:spPr bwMode="auto">
                    <a:xfrm>
                      <a:off x="0" y="0"/>
                      <a:ext cx="5943600" cy="4620639"/>
                    </a:xfrm>
                    <a:prstGeom prst="rect">
                      <a:avLst/>
                    </a:prstGeom>
                    <a:noFill/>
                    <a:ln w="3175" cap="flat" cmpd="sng" algn="ctr">
                      <a:solidFill>
                        <a:srgbClr val="000000"/>
                      </a:solid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inline>
        </w:drawing>
      </w:r>
    </w:p>
    <w:p w14:paraId="63ADB775"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Ecology Protection and Restoration Strategies (Ecology Watershed Characterization Water Flow Model)</w:t>
      </w:r>
    </w:p>
    <w:p w14:paraId="1A63E690" w14:textId="77777777" w:rsidR="00B90508" w:rsidRPr="00B90508" w:rsidRDefault="00B90508" w:rsidP="00B90508">
      <w:pPr>
        <w:keepNext/>
        <w:spacing w:after="0" w:line="276" w:lineRule="auto"/>
        <w:jc w:val="center"/>
        <w:rPr>
          <w:rFonts w:eastAsiaTheme="minorEastAsia"/>
        </w:rPr>
      </w:pPr>
      <w:r w:rsidRPr="00B90508">
        <w:rPr>
          <w:rFonts w:eastAsiaTheme="minorEastAsia"/>
          <w:noProof/>
        </w:rPr>
        <w:lastRenderedPageBreak/>
        <w:drawing>
          <wp:inline distT="0" distB="0" distL="0" distR="0" wp14:anchorId="2E4C169D" wp14:editId="380C5117">
            <wp:extent cx="5947410" cy="4707255"/>
            <wp:effectExtent l="19050" t="19050" r="15240" b="17145"/>
            <wp:docPr id="213" name="Picture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7410" cy="4707255"/>
                    </a:xfrm>
                    <a:prstGeom prst="rect">
                      <a:avLst/>
                    </a:prstGeom>
                    <a:noFill/>
                    <a:ln w="3175" cmpd="sng">
                      <a:solidFill>
                        <a:srgbClr val="000000"/>
                      </a:solidFill>
                      <a:miter lim="800000"/>
                      <a:headEnd/>
                      <a:tailEnd/>
                    </a:ln>
                    <a:effectLst/>
                  </pic:spPr>
                </pic:pic>
              </a:graphicData>
            </a:graphic>
          </wp:inline>
        </w:drawing>
      </w:r>
    </w:p>
    <w:p w14:paraId="0590DABD"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Freshwater Riparian Vegetation – Ecology Protection and Restoration Strategies (NOAA Coastal Change Analysis Program, 2011; Ecology Watershed Characterization)</w:t>
      </w:r>
    </w:p>
    <w:p w14:paraId="21242F85" w14:textId="77777777" w:rsidR="00B90508" w:rsidRPr="00B90508" w:rsidRDefault="00B90508" w:rsidP="00B90508">
      <w:pPr>
        <w:spacing w:line="276" w:lineRule="auto"/>
        <w:rPr>
          <w:rFonts w:eastAsiaTheme="minorEastAsia"/>
        </w:rPr>
      </w:pPr>
      <w:r w:rsidRPr="00B90508">
        <w:rPr>
          <w:rFonts w:eastAsiaTheme="minorEastAsia"/>
        </w:rPr>
        <w:t>In some Alliance jurisdictions, most notably in Mason County, there are finer resolution locally-derived assessments and prioritizations of freshwater riparian habitat. Where they exist, these assessments should inform project identification and selection. Efforts are underway to expand the coverage of these assessments. The Alliance supports these efforts and, as they are completed, will use them to adaptively manage and adjust the freshwater riparian target.</w:t>
      </w:r>
    </w:p>
    <w:p w14:paraId="043FD743"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Freshwater Flows in Rivers and Streams</w:t>
      </w:r>
    </w:p>
    <w:p w14:paraId="2031E5EE" w14:textId="77777777" w:rsidR="00B90508" w:rsidRPr="00B90508" w:rsidRDefault="00B90508" w:rsidP="00B90508">
      <w:pPr>
        <w:spacing w:line="276" w:lineRule="auto"/>
        <w:rPr>
          <w:rFonts w:eastAsia="Times New Roman"/>
        </w:rPr>
      </w:pPr>
      <w:r w:rsidRPr="00B90508">
        <w:rPr>
          <w:rFonts w:eastAsia="Times New Roman"/>
        </w:rPr>
        <w:t xml:space="preserve">Low flows in rivers and streams occur during summer months when there is less rain and warmer weather. Low summer flows can affect salmon recovery, wildlife, and water supply. Development that draws water away from streams can further reduce water quantity in streams through groundwater withdrawals and diversions. New buildings, roads, and parking lots and other impervious surfaces that prevent water from percolating into the ground also can reduce the amount of water that would otherwise recharge summer streams. Shrinking snowpack and warmer summer temperatures also reduce summer flows. </w:t>
      </w:r>
    </w:p>
    <w:p w14:paraId="354EA4F7" w14:textId="77777777" w:rsidR="00B90508" w:rsidRPr="00B90508" w:rsidRDefault="00B90508" w:rsidP="00B90508">
      <w:pPr>
        <w:spacing w:after="0" w:line="240" w:lineRule="auto"/>
        <w:rPr>
          <w:rFonts w:eastAsiaTheme="minorEastAsia"/>
        </w:rPr>
      </w:pPr>
    </w:p>
    <w:p w14:paraId="251B78D7" w14:textId="77777777" w:rsidR="00B90508" w:rsidRPr="00B90508" w:rsidRDefault="00B90508" w:rsidP="00B90508">
      <w:pPr>
        <w:spacing w:line="276" w:lineRule="auto"/>
        <w:rPr>
          <w:rFonts w:eastAsia="Times New Roman"/>
        </w:rPr>
      </w:pPr>
      <w:r w:rsidRPr="00B90508">
        <w:rPr>
          <w:rFonts w:eastAsia="Times New Roman"/>
        </w:rPr>
        <w:t xml:space="preserve">USGS monitoring stations in the Nisqually River (at McKenna) or Deschutes River (near Rainier) provide an indication of summer low flows for large river systems in the South Sound. As reported in 2015 State of the Sound Vital Signs, summer low flows in the Nisqually River show a strongly increasing trend over the current period of record (1975-2014) and low flows in the Deschutes River are weakly decreasing. </w:t>
      </w:r>
    </w:p>
    <w:p w14:paraId="29F7932B" w14:textId="77777777" w:rsidR="00B90508" w:rsidRPr="00B90508" w:rsidRDefault="00B90508" w:rsidP="00B90508">
      <w:pPr>
        <w:keepNext/>
        <w:spacing w:before="100" w:after="100" w:line="276" w:lineRule="auto"/>
        <w:jc w:val="center"/>
        <w:rPr>
          <w:rFonts w:ascii="Calibri" w:eastAsia="Times New Roman" w:hAnsi="Calibri" w:cs="Times New Roman"/>
          <w:b/>
          <w:color w:val="000000"/>
          <w:sz w:val="18"/>
        </w:rPr>
      </w:pPr>
      <w:r w:rsidRPr="00B90508">
        <w:rPr>
          <w:rFonts w:ascii="Calibri" w:eastAsia="Calibri" w:hAnsi="Calibri" w:cs="Calibri"/>
          <w:b/>
          <w:sz w:val="18"/>
        </w:rPr>
        <w:t>Table X. Long-term Trends in Summer Low Flows in 2 Major Rivers and Status Relative to the 2020 Targets (excerpt from the 2015 State of the Sound Vital Signs, pg. 64)</w:t>
      </w:r>
    </w:p>
    <w:p w14:paraId="19D5A1E7" w14:textId="77777777" w:rsidR="00B90508" w:rsidRPr="00B90508" w:rsidRDefault="00B90508" w:rsidP="00B90508">
      <w:pPr>
        <w:tabs>
          <w:tab w:val="left" w:pos="3870"/>
        </w:tabs>
        <w:spacing w:after="0" w:line="240" w:lineRule="auto"/>
        <w:rPr>
          <w:rFonts w:ascii="Calibri" w:eastAsia="Times New Roman" w:hAnsi="Calibri" w:cs="Times New Roman"/>
          <w:color w:val="000000"/>
        </w:rPr>
      </w:pPr>
      <w:r w:rsidRPr="00B90508">
        <w:rPr>
          <w:rFonts w:eastAsiaTheme="minorEastAsia"/>
          <w:noProof/>
        </w:rPr>
        <w:drawing>
          <wp:inline distT="0" distB="0" distL="0" distR="0" wp14:anchorId="4B8FA0D8" wp14:editId="601A4EDD">
            <wp:extent cx="5947410" cy="977900"/>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947410" cy="977900"/>
                    </a:xfrm>
                    <a:prstGeom prst="rect">
                      <a:avLst/>
                    </a:prstGeom>
                    <a:noFill/>
                    <a:ln>
                      <a:noFill/>
                    </a:ln>
                  </pic:spPr>
                </pic:pic>
              </a:graphicData>
            </a:graphic>
          </wp:inline>
        </w:drawing>
      </w:r>
    </w:p>
    <w:p w14:paraId="33B0E71F" w14:textId="77777777" w:rsidR="00B90508" w:rsidRPr="00B90508" w:rsidRDefault="00B90508" w:rsidP="00B90508">
      <w:pPr>
        <w:spacing w:after="0" w:line="240" w:lineRule="auto"/>
        <w:rPr>
          <w:rFonts w:ascii="Calibri" w:eastAsia="Times New Roman" w:hAnsi="Calibri" w:cs="Times New Roman"/>
          <w:color w:val="000000"/>
        </w:rPr>
      </w:pPr>
    </w:p>
    <w:p w14:paraId="249F5FB0" w14:textId="77777777" w:rsidR="00B90508" w:rsidRPr="00B90508" w:rsidRDefault="00B90508" w:rsidP="00B90508">
      <w:pPr>
        <w:spacing w:line="276" w:lineRule="auto"/>
        <w:rPr>
          <w:rFonts w:eastAsiaTheme="minorEastAsia"/>
        </w:rPr>
      </w:pPr>
      <w:r w:rsidRPr="00B90508">
        <w:rPr>
          <w:rFonts w:eastAsiaTheme="minorEastAsia"/>
        </w:rPr>
        <w:t>Summer flows in smaller streams and tributaries also are critical for salmon recovery.</w:t>
      </w:r>
    </w:p>
    <w:p w14:paraId="1126AB19" w14:textId="77777777" w:rsidR="00B90508" w:rsidRPr="00B90508" w:rsidRDefault="00B90508" w:rsidP="00B90508">
      <w:pPr>
        <w:spacing w:line="276" w:lineRule="auto"/>
        <w:rPr>
          <w:rFonts w:eastAsiaTheme="minorEastAsia"/>
          <w:b/>
          <w:bCs/>
          <w:i/>
          <w:iCs/>
          <w:color w:val="2E74B5" w:themeColor="accent1" w:themeShade="BF"/>
        </w:rPr>
      </w:pPr>
      <w:r w:rsidRPr="00B90508">
        <w:rPr>
          <w:rFonts w:eastAsiaTheme="minorEastAsia"/>
          <w:b/>
          <w:bCs/>
          <w:i/>
          <w:iCs/>
          <w:color w:val="2E74B5" w:themeColor="accent1" w:themeShade="BF"/>
        </w:rPr>
        <w:t xml:space="preserve">[9/30 Reviewers: we are still working on the section on flows in small streams. We plan to say that our goal is to increase flows in all small streams that are flow limited. We also would like to adopt any local targets that exist for flows in small streams but we’ve heard that numeric targets may not be available because of data concerns and/or a lack of completed groundwater models. Where data are not adequate to set numeric flow targets we also could use the strategy to say that data should be updated/ added to. We need help understanding what data are available on flows in small streams, how to present those data here, and whether we can use the data to set targets.] </w:t>
      </w:r>
    </w:p>
    <w:p w14:paraId="137E8E7D"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 xml:space="preserve">Fish Passable Streams </w:t>
      </w:r>
    </w:p>
    <w:p w14:paraId="792D11EC" w14:textId="77777777" w:rsidR="00B90508" w:rsidRPr="00B90508" w:rsidRDefault="00B90508" w:rsidP="00B90508">
      <w:pPr>
        <w:spacing w:line="276" w:lineRule="auto"/>
        <w:rPr>
          <w:rFonts w:eastAsiaTheme="minorEastAsia"/>
        </w:rPr>
      </w:pPr>
      <w:r w:rsidRPr="00B90508">
        <w:rPr>
          <w:rFonts w:eastAsiaTheme="minorEastAsia"/>
        </w:rPr>
        <w:t>The ability of salmon and steelhead to migrate upstream to their traditional spawning grounds is critical to their recovery. Dams, bridges, roadways, culverts, and other manmade barriers block fish passage in many streams of the South Sound, preventing access to salmonids and inhibiting overall salmon recovery.</w:t>
      </w:r>
    </w:p>
    <w:p w14:paraId="511573A2" w14:textId="77777777" w:rsidR="00B90508" w:rsidRPr="00B90508" w:rsidRDefault="00B90508" w:rsidP="00B90508">
      <w:pPr>
        <w:spacing w:line="276" w:lineRule="auto"/>
        <w:rPr>
          <w:rFonts w:eastAsiaTheme="minorEastAsia"/>
        </w:rPr>
      </w:pPr>
      <w:r w:rsidRPr="00B90508">
        <w:rPr>
          <w:rFonts w:eastAsiaTheme="minorEastAsia"/>
        </w:rPr>
        <w:t>The South Sound has 361 total fish passage barriers, and 521 partial barriers (Table X). The Totten &amp; Little Skookum Inlet Group has the highest concentration of total barriers (55) followed by the Hammersley Inlet &amp; Oakland Bay Group (51). Harstine Island has the fewest total blockages (7), although this mostly due to the low number of freshwater streams on the island.</w:t>
      </w:r>
    </w:p>
    <w:p w14:paraId="3F01F314" w14:textId="77777777" w:rsidR="00B90508" w:rsidRPr="00B90508" w:rsidRDefault="00B90508" w:rsidP="00B90508">
      <w:pPr>
        <w:keepNext/>
        <w:spacing w:before="100" w:after="100" w:line="276" w:lineRule="auto"/>
        <w:jc w:val="center"/>
        <w:rPr>
          <w:rFonts w:ascii="Calibri" w:eastAsia="Times New Roman" w:hAnsi="Calibri" w:cs="Times New Roman"/>
          <w:b/>
          <w:color w:val="000000"/>
          <w:sz w:val="18"/>
        </w:rPr>
      </w:pPr>
      <w:r w:rsidRPr="00B90508">
        <w:rPr>
          <w:rFonts w:ascii="Calibri" w:eastAsia="Calibri" w:hAnsi="Calibri" w:cs="Calibri"/>
          <w:b/>
          <w:sz w:val="18"/>
        </w:rPr>
        <w:lastRenderedPageBreak/>
        <w:t>Table X. Fish Passage Barriers by Assessment Unit</w:t>
      </w:r>
    </w:p>
    <w:p w14:paraId="48D72F51" w14:textId="77777777" w:rsidR="00B90508" w:rsidRPr="00B90508" w:rsidRDefault="00B90508" w:rsidP="00B90508">
      <w:pPr>
        <w:spacing w:after="360" w:line="276" w:lineRule="auto"/>
        <w:jc w:val="center"/>
        <w:rPr>
          <w:rFonts w:eastAsiaTheme="minorEastAsia"/>
          <w:highlight w:val="yellow"/>
        </w:rPr>
      </w:pPr>
      <w:r w:rsidRPr="00B90508">
        <w:rPr>
          <w:rFonts w:eastAsiaTheme="minorEastAsia"/>
          <w:noProof/>
        </w:rPr>
        <w:drawing>
          <wp:inline distT="0" distB="0" distL="0" distR="0" wp14:anchorId="6C5070AA" wp14:editId="64FF17AD">
            <wp:extent cx="4285615" cy="1979930"/>
            <wp:effectExtent l="19050" t="19050" r="19685" b="20320"/>
            <wp:docPr id="215" name="Picture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4285615" cy="1979930"/>
                    </a:xfrm>
                    <a:prstGeom prst="rect">
                      <a:avLst/>
                    </a:prstGeom>
                    <a:noFill/>
                    <a:ln w="3175" cmpd="sng">
                      <a:solidFill>
                        <a:srgbClr val="000000"/>
                      </a:solidFill>
                      <a:miter lim="800000"/>
                      <a:headEnd/>
                      <a:tailEnd/>
                    </a:ln>
                    <a:effectLst/>
                  </pic:spPr>
                </pic:pic>
              </a:graphicData>
            </a:graphic>
          </wp:inline>
        </w:drawing>
      </w:r>
    </w:p>
    <w:p w14:paraId="023F033B" w14:textId="77777777" w:rsidR="00B90508" w:rsidRPr="00B90508" w:rsidRDefault="00B90508" w:rsidP="00B90508">
      <w:pPr>
        <w:keepNext/>
        <w:keepLines/>
        <w:spacing w:after="60" w:line="276" w:lineRule="auto"/>
        <w:outlineLvl w:val="3"/>
        <w:rPr>
          <w:rFonts w:asciiTheme="majorHAnsi" w:eastAsiaTheme="majorEastAsia" w:hAnsiTheme="majorHAnsi" w:cstheme="majorBidi"/>
          <w:color w:val="2E74B5" w:themeColor="accent1" w:themeShade="BF"/>
        </w:rPr>
      </w:pPr>
      <w:r w:rsidRPr="00B90508">
        <w:rPr>
          <w:rFonts w:asciiTheme="majorHAnsi" w:eastAsiaTheme="majorEastAsia" w:hAnsiTheme="majorHAnsi" w:cstheme="majorBidi"/>
          <w:color w:val="2E74B5" w:themeColor="accent1" w:themeShade="BF"/>
        </w:rPr>
        <w:t>Target for Fish Passable Streams</w:t>
      </w:r>
    </w:p>
    <w:p w14:paraId="466BA8E1" w14:textId="77777777" w:rsidR="00B90508" w:rsidRPr="00B90508" w:rsidRDefault="00B90508" w:rsidP="00B90508">
      <w:pPr>
        <w:spacing w:line="276" w:lineRule="auto"/>
        <w:rPr>
          <w:rFonts w:eastAsiaTheme="minorEastAsia"/>
        </w:rPr>
      </w:pPr>
      <w:r w:rsidRPr="00B90508">
        <w:rPr>
          <w:rFonts w:eastAsiaTheme="minorEastAsia"/>
        </w:rPr>
        <w:t>Ultimately, the Alliance believes that all fish passage barriers must be removed to fully support salmon recover. To set a target for fish passage barrier removal we used the priority index ranking system. This system develops a numeric ranking for each barrier considering the habitat gain, mobility and health status of the fish stocks that would benefit from increased access to the habitat, and the project cost. This is an imperfect system in part because only a fraction of barriers have been evaluated and given a priority index rating (only 39% of total barriers and 42% of partial barriers), and the ratings that do exist are largely dated. The table below shows the number of total barriers in each upland assessment unit and the priority index ratings for those barriers that have been evaluated and given a rating. The second table summarizes the same information for partial barriers.</w:t>
      </w:r>
    </w:p>
    <w:p w14:paraId="2B3A8D4B"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t>Table X. Total Fish Passage Barriers by Assessment Unit and WDFW Priority Index Ratings</w:t>
      </w:r>
    </w:p>
    <w:p w14:paraId="004B40A7" w14:textId="77777777" w:rsidR="00B90508" w:rsidRPr="00B90508" w:rsidRDefault="00B90508" w:rsidP="00B90508">
      <w:pPr>
        <w:spacing w:line="276" w:lineRule="auto"/>
        <w:jc w:val="center"/>
        <w:rPr>
          <w:rFonts w:eastAsiaTheme="minorEastAsia"/>
        </w:rPr>
      </w:pPr>
      <w:r w:rsidRPr="00B90508">
        <w:rPr>
          <w:rFonts w:eastAsiaTheme="minorEastAsia"/>
          <w:noProof/>
        </w:rPr>
        <w:drawing>
          <wp:inline distT="0" distB="0" distL="0" distR="0" wp14:anchorId="293C33AC" wp14:editId="05970F93">
            <wp:extent cx="4794885" cy="1955800"/>
            <wp:effectExtent l="19050" t="19050" r="24765" b="2540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4794885" cy="1955800"/>
                    </a:xfrm>
                    <a:prstGeom prst="rect">
                      <a:avLst/>
                    </a:prstGeom>
                    <a:noFill/>
                    <a:ln w="3175" cmpd="sng">
                      <a:solidFill>
                        <a:srgbClr val="000000"/>
                      </a:solidFill>
                      <a:miter lim="800000"/>
                      <a:headEnd/>
                      <a:tailEnd/>
                    </a:ln>
                    <a:effectLst/>
                  </pic:spPr>
                </pic:pic>
              </a:graphicData>
            </a:graphic>
          </wp:inline>
        </w:drawing>
      </w:r>
    </w:p>
    <w:p w14:paraId="61FC084E"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lastRenderedPageBreak/>
        <w:t>Table X. Partial Fish Passage Barriers by Assessment Unit and WDFW Priority Index Ratings</w:t>
      </w:r>
    </w:p>
    <w:p w14:paraId="1CD776AD" w14:textId="77777777" w:rsidR="00B90508" w:rsidRPr="00B90508" w:rsidRDefault="00B90508" w:rsidP="00B90508">
      <w:pPr>
        <w:spacing w:after="360" w:line="276" w:lineRule="auto"/>
        <w:jc w:val="center"/>
        <w:rPr>
          <w:rFonts w:eastAsiaTheme="minorEastAsia"/>
        </w:rPr>
      </w:pPr>
      <w:r w:rsidRPr="00B90508">
        <w:rPr>
          <w:rFonts w:eastAsiaTheme="minorEastAsia"/>
          <w:noProof/>
        </w:rPr>
        <w:drawing>
          <wp:inline distT="0" distB="0" distL="0" distR="0" wp14:anchorId="0F3D35D3" wp14:editId="3A4694B4">
            <wp:extent cx="4850130" cy="1964055"/>
            <wp:effectExtent l="19050" t="19050" r="26670" b="17145"/>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850130" cy="1964055"/>
                    </a:xfrm>
                    <a:prstGeom prst="rect">
                      <a:avLst/>
                    </a:prstGeom>
                    <a:noFill/>
                    <a:ln w="3175" cmpd="sng">
                      <a:solidFill>
                        <a:srgbClr val="000000"/>
                      </a:solidFill>
                      <a:miter lim="800000"/>
                      <a:headEnd/>
                      <a:tailEnd/>
                    </a:ln>
                    <a:effectLst/>
                  </pic:spPr>
                </pic:pic>
              </a:graphicData>
            </a:graphic>
          </wp:inline>
        </w:drawing>
      </w:r>
    </w:p>
    <w:p w14:paraId="10F080A6" w14:textId="77777777" w:rsidR="00B90508" w:rsidRPr="00B90508" w:rsidRDefault="00B90508" w:rsidP="00B90508">
      <w:pPr>
        <w:spacing w:line="276" w:lineRule="auto"/>
        <w:rPr>
          <w:rFonts w:eastAsiaTheme="minorEastAsia"/>
        </w:rPr>
      </w:pPr>
      <w:r w:rsidRPr="00B90508">
        <w:rPr>
          <w:rFonts w:eastAsiaTheme="minorEastAsia"/>
        </w:rPr>
        <w:t xml:space="preserve">The target calls for removal of barriers with the highest Priority Index Rating, and for updating of ratings to ensure all barriers are assessed. </w:t>
      </w:r>
    </w:p>
    <w:p w14:paraId="758423D0" w14:textId="77777777" w:rsidR="00B90508" w:rsidRPr="00B90508" w:rsidRDefault="00B90508" w:rsidP="00B90508">
      <w:pPr>
        <w:spacing w:line="276" w:lineRule="auto"/>
        <w:ind w:left="720"/>
        <w:rPr>
          <w:rFonts w:eastAsiaTheme="minorEastAsia"/>
          <w:i/>
          <w:color w:val="2B5A8E"/>
        </w:rPr>
      </w:pPr>
      <w:r w:rsidRPr="00B90508">
        <w:rPr>
          <w:rFonts w:eastAsiaTheme="minorEastAsia"/>
          <w:i/>
          <w:color w:val="2B5A8E"/>
        </w:rPr>
        <w:t>(1) Restore the four partial barriers in Carr Inlet, Henderson Inlet, and Nisqually that have a WDFW Priority Index greater than 50, (2) Prioritize restoring both total and partial barriers that have a WDFW Priority Index between 25 and 50 (50 barriers).</w:t>
      </w:r>
    </w:p>
    <w:p w14:paraId="695ED5A6" w14:textId="77777777" w:rsidR="00B90508" w:rsidRPr="00B90508" w:rsidRDefault="00B90508" w:rsidP="00B90508">
      <w:pPr>
        <w:spacing w:line="276" w:lineRule="auto"/>
        <w:rPr>
          <w:rFonts w:eastAsiaTheme="minorEastAsia"/>
        </w:rPr>
      </w:pPr>
      <w:r w:rsidRPr="00B90508">
        <w:rPr>
          <w:rFonts w:eastAsiaTheme="minorEastAsia"/>
        </w:rPr>
        <w:t>Figure [] shows the fish passage barriers with Priority Index Ratings. The figure combines total and partial barriers.</w:t>
      </w:r>
    </w:p>
    <w:p w14:paraId="76374181" w14:textId="77777777" w:rsidR="00B90508" w:rsidRPr="00B90508" w:rsidRDefault="00B90508" w:rsidP="00B90508">
      <w:pPr>
        <w:spacing w:after="0" w:line="276" w:lineRule="auto"/>
        <w:jc w:val="center"/>
        <w:rPr>
          <w:rFonts w:eastAsiaTheme="minorEastAsia"/>
        </w:rPr>
      </w:pPr>
      <w:r w:rsidRPr="00B90508">
        <w:rPr>
          <w:rFonts w:eastAsiaTheme="minorEastAsia"/>
          <w:noProof/>
        </w:rPr>
        <w:lastRenderedPageBreak/>
        <w:drawing>
          <wp:inline distT="0" distB="0" distL="0" distR="0" wp14:anchorId="40C387F2" wp14:editId="28431E7D">
            <wp:extent cx="5947410" cy="4714875"/>
            <wp:effectExtent l="19050" t="19050" r="15240" b="28575"/>
            <wp:docPr id="219" name="Picture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947410" cy="4714875"/>
                    </a:xfrm>
                    <a:prstGeom prst="rect">
                      <a:avLst/>
                    </a:prstGeom>
                    <a:noFill/>
                    <a:ln w="3175" cmpd="sng">
                      <a:solidFill>
                        <a:srgbClr val="000000"/>
                      </a:solidFill>
                      <a:miter lim="800000"/>
                      <a:headEnd/>
                      <a:tailEnd/>
                    </a:ln>
                    <a:effectLst/>
                  </pic:spPr>
                </pic:pic>
              </a:graphicData>
            </a:graphic>
          </wp:inline>
        </w:drawing>
      </w:r>
    </w:p>
    <w:p w14:paraId="40D8E9E6"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Figure X. Fish Passage Barriers (Total and Partial) and their WDFW Priority Index (Washington </w:t>
      </w:r>
      <w:r w:rsidRPr="00B90508">
        <w:rPr>
          <w:rFonts w:ascii="Calibri" w:eastAsia="Calibri" w:hAnsi="Calibri" w:cs="Calibri"/>
          <w:b/>
          <w:sz w:val="18"/>
        </w:rPr>
        <w:br/>
        <w:t>Department of Fish and Wildlife)</w:t>
      </w:r>
    </w:p>
    <w:p w14:paraId="5C91F618" w14:textId="77777777" w:rsidR="00B90508" w:rsidRPr="00B90508" w:rsidRDefault="00B90508" w:rsidP="00B90508">
      <w:pPr>
        <w:spacing w:line="276" w:lineRule="auto"/>
        <w:rPr>
          <w:rFonts w:eastAsiaTheme="minorEastAsia"/>
        </w:rPr>
      </w:pPr>
      <w:r w:rsidRPr="00B90508">
        <w:rPr>
          <w:rFonts w:eastAsiaTheme="minorEastAsia"/>
        </w:rPr>
        <w:t xml:space="preserve">Like freshwater riparian habitat, fish passage barriers are an areas where tribal governments, county governments, and local groups may have finer scale, more recent, data. We were unable to obtain or compile these data for this effort; however the Alliance supports removal of fish passage barriers in South Sound on an aggressive timeline and consistent with science-based local priorities. Where these prioritizations exist, they should drive fish barrier removal efforts. </w:t>
      </w:r>
    </w:p>
    <w:p w14:paraId="669AD2E1" w14:textId="77777777" w:rsidR="00B90508" w:rsidRPr="00B90508" w:rsidRDefault="00B90508" w:rsidP="00B90508">
      <w:pPr>
        <w:spacing w:line="276" w:lineRule="auto"/>
        <w:rPr>
          <w:rFonts w:eastAsiaTheme="minorEastAsia"/>
        </w:rPr>
      </w:pPr>
      <w:r w:rsidRPr="00B90508">
        <w:rPr>
          <w:rFonts w:eastAsiaTheme="minorEastAsia"/>
        </w:rPr>
        <w:t>The State also prioritizes its investment in fish passage barrier removal. State investment in fish passage barrier removal is directed by the Fish Barrier Removal Board. The purpose of the board is to “aid the restoration of healthy and harvestable levels of salmon and steelhead statewide through the coordinated and strategic removal of barriers to fish passage.” (RCW 77.95.160) Their initial set of proposed priorities, which covers 2017-2019 state investments, includes removal of 9 barriers in the Goldsborough Creek watershed in Mason County – including removal of barriers on Coffee, Dayton, Uncle John’s, Deer, and Likes creeks.</w:t>
      </w:r>
    </w:p>
    <w:p w14:paraId="5C98EB9C" w14:textId="77777777" w:rsidR="00B90508" w:rsidRPr="00B90508" w:rsidRDefault="00B90508" w:rsidP="00B90508">
      <w:pPr>
        <w:spacing w:line="276" w:lineRule="auto"/>
        <w:rPr>
          <w:rFonts w:eastAsiaTheme="minorEastAsia"/>
          <w:b/>
          <w:bCs/>
          <w:i/>
          <w:iCs/>
          <w:color w:val="2E74B5" w:themeColor="accent1" w:themeShade="BF"/>
        </w:rPr>
      </w:pPr>
      <w:r w:rsidRPr="00B90508">
        <w:rPr>
          <w:rFonts w:eastAsiaTheme="minorEastAsia"/>
          <w:b/>
          <w:bCs/>
          <w:i/>
          <w:iCs/>
          <w:color w:val="2E74B5" w:themeColor="accent1" w:themeShade="BF"/>
        </w:rPr>
        <w:lastRenderedPageBreak/>
        <w:t>[9/30 Reviewers: if there is finer scale or more up-to-date data on fish passage barriers or a better way to set a target using information on more barriers (i.e., including barriers that don’t have a Priority Index Rating in the state database we are very open to it, and let’s discuss!]</w:t>
      </w:r>
    </w:p>
    <w:p w14:paraId="7193B2C2"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47" w:name="_Toc463000010"/>
      <w:r w:rsidRPr="00B90508">
        <w:rPr>
          <w:rFonts w:asciiTheme="majorHAnsi" w:eastAsiaTheme="majorEastAsia" w:hAnsiTheme="majorHAnsi" w:cstheme="majorBidi"/>
          <w:color w:val="2B5A8E"/>
          <w:sz w:val="32"/>
          <w:szCs w:val="32"/>
          <w:u w:color="33CC33"/>
        </w:rPr>
        <w:t>Strategies, Existing Programs, and Actions</w:t>
      </w:r>
      <w:bookmarkEnd w:id="247"/>
    </w:p>
    <w:p w14:paraId="4A3DBCAE" w14:textId="77777777" w:rsidR="00B90508" w:rsidRPr="00B90508" w:rsidRDefault="00B90508" w:rsidP="00B90508">
      <w:pPr>
        <w:spacing w:line="276" w:lineRule="auto"/>
        <w:rPr>
          <w:rFonts w:eastAsiaTheme="minorEastAsia"/>
        </w:rPr>
      </w:pPr>
      <w:r w:rsidRPr="00B90508">
        <w:rPr>
          <w:rFonts w:eastAsia="Calibri"/>
        </w:rPr>
        <w:t>Strategies to address forests and freshwater habitats focus on:</w:t>
      </w:r>
    </w:p>
    <w:p w14:paraId="3D7C30F5" w14:textId="77777777" w:rsidR="00B90508" w:rsidRPr="00B90508" w:rsidRDefault="00B90508" w:rsidP="00B90508">
      <w:pPr>
        <w:numPr>
          <w:ilvl w:val="0"/>
          <w:numId w:val="41"/>
        </w:numPr>
        <w:spacing w:after="120" w:line="276" w:lineRule="auto"/>
        <w:contextualSpacing/>
        <w:rPr>
          <w:rFonts w:ascii="Calibri" w:eastAsia="Calibri" w:hAnsi="Calibri" w:cs="Calibri"/>
        </w:rPr>
      </w:pPr>
      <w:r w:rsidRPr="00B90508">
        <w:rPr>
          <w:rFonts w:ascii="Calibri" w:eastAsia="Calibri" w:hAnsi="Calibri" w:cs="Calibri"/>
        </w:rPr>
        <w:t>Direct protection of intact areas (e.g., through acquisition and transfer/purchase of development rights).</w:t>
      </w:r>
    </w:p>
    <w:p w14:paraId="606F075C" w14:textId="77777777" w:rsidR="00B90508" w:rsidRPr="00B90508" w:rsidRDefault="00B90508" w:rsidP="00B90508">
      <w:pPr>
        <w:numPr>
          <w:ilvl w:val="0"/>
          <w:numId w:val="41"/>
        </w:numPr>
        <w:spacing w:after="120" w:line="276" w:lineRule="auto"/>
        <w:contextualSpacing/>
        <w:rPr>
          <w:rFonts w:ascii="Calibri" w:eastAsia="Calibri" w:hAnsi="Calibri" w:cs="Calibri"/>
        </w:rPr>
      </w:pPr>
      <w:r w:rsidRPr="00B90508">
        <w:rPr>
          <w:rFonts w:ascii="Calibri" w:eastAsia="Calibri" w:hAnsi="Calibri" w:cs="Calibri"/>
        </w:rPr>
        <w:t>Support and implementation of land management plans particularly county and city growth management and critical area programs, programs that concentrate growth in urban growth areas and protect freshwater habitats such as lakes, wetlands and streams.</w:t>
      </w:r>
    </w:p>
    <w:p w14:paraId="1E7A44E4" w14:textId="77777777" w:rsidR="00B90508" w:rsidRPr="00B90508" w:rsidRDefault="00B90508" w:rsidP="00B90508">
      <w:pPr>
        <w:numPr>
          <w:ilvl w:val="0"/>
          <w:numId w:val="41"/>
        </w:numPr>
        <w:spacing w:after="120" w:line="276" w:lineRule="auto"/>
        <w:contextualSpacing/>
        <w:rPr>
          <w:rFonts w:ascii="Calibri" w:eastAsia="Calibri" w:hAnsi="Calibri" w:cs="Calibri"/>
        </w:rPr>
      </w:pPr>
      <w:r w:rsidRPr="00B90508">
        <w:rPr>
          <w:rFonts w:ascii="Calibri" w:eastAsia="Calibri" w:hAnsi="Calibri" w:cs="Calibri"/>
        </w:rPr>
        <w:t xml:space="preserve">Support to </w:t>
      </w:r>
      <w:r w:rsidRPr="00B90508">
        <w:rPr>
          <w:rFonts w:eastAsiaTheme="minorEastAsia"/>
        </w:rPr>
        <w:t>landowners</w:t>
      </w:r>
      <w:r w:rsidRPr="00B90508">
        <w:rPr>
          <w:rFonts w:ascii="Calibri" w:eastAsia="Calibri" w:hAnsi="Calibri" w:cs="Calibri"/>
        </w:rPr>
        <w:t xml:space="preserve"> to help them protect and restore freshwater habitats by incentivizing natural areas and open space.</w:t>
      </w:r>
    </w:p>
    <w:p w14:paraId="53B1AAF4" w14:textId="77777777" w:rsidR="00B90508" w:rsidRPr="00B90508" w:rsidRDefault="00B90508" w:rsidP="00B90508">
      <w:pPr>
        <w:numPr>
          <w:ilvl w:val="0"/>
          <w:numId w:val="41"/>
        </w:numPr>
        <w:spacing w:after="120" w:line="276" w:lineRule="auto"/>
        <w:contextualSpacing/>
        <w:rPr>
          <w:rFonts w:ascii="Calibri" w:eastAsia="Calibri" w:hAnsi="Calibri" w:cs="Calibri"/>
        </w:rPr>
      </w:pPr>
      <w:r w:rsidRPr="00B90508">
        <w:rPr>
          <w:rFonts w:ascii="Calibri" w:eastAsia="Calibri" w:hAnsi="Calibri" w:cs="Calibri"/>
        </w:rPr>
        <w:t>Support for sustainable forestry efforts and sustainable agricultural practices, and efforts to ensure these practices maintain or improve forest and freshwater habitat quality.</w:t>
      </w:r>
    </w:p>
    <w:p w14:paraId="61F84175" w14:textId="77777777" w:rsidR="00B90508" w:rsidRPr="00B90508" w:rsidRDefault="00B90508" w:rsidP="00DB2B36">
      <w:pPr>
        <w:numPr>
          <w:ilvl w:val="0"/>
          <w:numId w:val="34"/>
        </w:numPr>
        <w:spacing w:after="120" w:line="276" w:lineRule="auto"/>
        <w:rPr>
          <w:rFonts w:ascii="Calibri" w:eastAsia="Calibri" w:hAnsi="Calibri" w:cs="Calibri"/>
        </w:rPr>
      </w:pPr>
      <w:r w:rsidRPr="00B90508">
        <w:rPr>
          <w:rFonts w:ascii="Calibri" w:eastAsia="Calibri" w:hAnsi="Calibri" w:cs="Calibri"/>
        </w:rPr>
        <w:t>Informing people a</w:t>
      </w:r>
      <w:r w:rsidRPr="00B90508">
        <w:rPr>
          <w:rFonts w:eastAsiaTheme="minorEastAsia"/>
        </w:rPr>
        <w:t xml:space="preserve">bout how forest and freshwater processes support ecosystem functions and services (such as abundant salmon) that are important to people to raise support for forest and freshwater protection and restoration efforts. </w:t>
      </w:r>
    </w:p>
    <w:p w14:paraId="0BF41826" w14:textId="77777777" w:rsidR="00B90508" w:rsidRPr="00B90508" w:rsidRDefault="00B90508" w:rsidP="00B90508">
      <w:pPr>
        <w:spacing w:after="240" w:line="276" w:lineRule="auto"/>
        <w:rPr>
          <w:rFonts w:eastAsiaTheme="minorEastAsia"/>
          <w:b/>
          <w:bCs/>
          <w:i/>
          <w:iCs/>
          <w:color w:val="2E74B5" w:themeColor="accent1" w:themeShade="BF"/>
        </w:rPr>
      </w:pPr>
      <w:r w:rsidRPr="00B90508">
        <w:rPr>
          <w:rFonts w:eastAsiaTheme="minorEastAsia"/>
          <w:b/>
          <w:bCs/>
          <w:i/>
          <w:iCs/>
          <w:color w:val="2E74B5" w:themeColor="accent1" w:themeShade="BF"/>
        </w:rPr>
        <w:t>[9/30 Reviewers: we need help describing the key existing programs for forests, land cover, and freshwater. So far we are tracking that we should describe growth management and critical areas, Natural Area Property Tax Incentive programs, forest/farms/fish certification programs and incentives, community forest programs. What else should we describe? Also, we’re going to need help getting up-to-date concise information on these programs to include in the strategy. We ran out of time to get this information put together for this draft.]</w:t>
      </w:r>
    </w:p>
    <w:p w14:paraId="2E4F19D6"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AHSS Near Term Actions</w:t>
      </w:r>
    </w:p>
    <w:p w14:paraId="2B9EEAC7" w14:textId="77777777" w:rsidR="00B90508" w:rsidRPr="00B90508" w:rsidRDefault="00B90508" w:rsidP="00B90508">
      <w:pPr>
        <w:spacing w:line="276" w:lineRule="auto"/>
        <w:rPr>
          <w:rFonts w:eastAsia="Calibri"/>
        </w:rPr>
      </w:pPr>
      <w:r w:rsidRPr="00B90508">
        <w:rPr>
          <w:rFonts w:eastAsia="Calibri"/>
        </w:rPr>
        <w:t xml:space="preserve">For the 2016 Action Agenda for Puget Sound, AHSS partners proposed several near term actions related to forests and fresh water. </w:t>
      </w:r>
    </w:p>
    <w:p w14:paraId="0AA1AB70" w14:textId="77777777" w:rsidR="00B90508" w:rsidRPr="00B90508" w:rsidRDefault="00B90508" w:rsidP="00B90508">
      <w:pPr>
        <w:numPr>
          <w:ilvl w:val="0"/>
          <w:numId w:val="46"/>
        </w:numPr>
        <w:spacing w:line="276" w:lineRule="auto"/>
        <w:contextualSpacing/>
        <w:rPr>
          <w:rFonts w:eastAsiaTheme="minorEastAsia"/>
        </w:rPr>
      </w:pPr>
      <w:r w:rsidRPr="00B90508">
        <w:rPr>
          <w:rFonts w:eastAsiaTheme="minorEastAsia"/>
          <w:b/>
        </w:rPr>
        <w:t>Nisqually Community Forest Forest Acquisition</w:t>
      </w:r>
      <w:r w:rsidRPr="00B90508">
        <w:rPr>
          <w:rFonts w:eastAsiaTheme="minorEastAsia"/>
        </w:rPr>
        <w:t xml:space="preserve"> would permanently protect sensitive properties under threat of forestry practices that could result in excessive erosion. </w:t>
      </w:r>
    </w:p>
    <w:p w14:paraId="773AA4AD" w14:textId="77777777" w:rsidR="00B90508" w:rsidRPr="00B90508" w:rsidRDefault="00B90508" w:rsidP="00B90508">
      <w:pPr>
        <w:numPr>
          <w:ilvl w:val="0"/>
          <w:numId w:val="46"/>
        </w:numPr>
        <w:spacing w:line="276" w:lineRule="auto"/>
        <w:contextualSpacing/>
        <w:rPr>
          <w:rFonts w:eastAsiaTheme="minorEastAsia"/>
        </w:rPr>
      </w:pPr>
      <w:r w:rsidRPr="00B90508">
        <w:rPr>
          <w:rFonts w:eastAsiaTheme="minorEastAsia"/>
        </w:rPr>
        <w:t xml:space="preserve">Pierce County </w:t>
      </w:r>
      <w:r w:rsidRPr="00B90508">
        <w:rPr>
          <w:rFonts w:eastAsiaTheme="minorEastAsia"/>
          <w:b/>
        </w:rPr>
        <w:t>Huge Creek Culvert Replacement</w:t>
      </w:r>
      <w:r w:rsidRPr="00B90508">
        <w:rPr>
          <w:rFonts w:eastAsiaTheme="minorEastAsia"/>
        </w:rPr>
        <w:t xml:space="preserve"> would fund replacement of an undersized obstructive culvert on Huge Creek, a tributary to Minter Creek.</w:t>
      </w:r>
    </w:p>
    <w:p w14:paraId="1FCC7B82" w14:textId="77777777" w:rsidR="00B90508" w:rsidRPr="00B90508" w:rsidRDefault="00B90508" w:rsidP="00B90508">
      <w:pPr>
        <w:numPr>
          <w:ilvl w:val="0"/>
          <w:numId w:val="46"/>
        </w:numPr>
        <w:spacing w:line="276" w:lineRule="auto"/>
        <w:contextualSpacing/>
        <w:rPr>
          <w:rFonts w:eastAsiaTheme="minorEastAsia"/>
        </w:rPr>
      </w:pPr>
      <w:r w:rsidRPr="00B90508">
        <w:rPr>
          <w:rFonts w:eastAsiaTheme="minorEastAsia"/>
        </w:rPr>
        <w:t xml:space="preserve">Mason Conservation District </w:t>
      </w:r>
      <w:r w:rsidRPr="00B90508">
        <w:rPr>
          <w:rFonts w:eastAsiaTheme="minorEastAsia"/>
          <w:b/>
        </w:rPr>
        <w:t>Restoration of Naturally Functional Riparian Buffers in South Sound</w:t>
      </w:r>
      <w:r w:rsidRPr="00B90508">
        <w:rPr>
          <w:rFonts w:eastAsiaTheme="minorEastAsia"/>
        </w:rPr>
        <w:t xml:space="preserve"> would expand on efforts to restore and protect naturally functioning riparian and floodplain areas by providing for planting, site maintenance, and knotweed inventory and control. </w:t>
      </w:r>
    </w:p>
    <w:p w14:paraId="02AAEB0B" w14:textId="77777777" w:rsidR="00B90508" w:rsidRPr="00B90508" w:rsidRDefault="00B90508" w:rsidP="00B90508">
      <w:pPr>
        <w:numPr>
          <w:ilvl w:val="0"/>
          <w:numId w:val="46"/>
        </w:numPr>
        <w:spacing w:line="276" w:lineRule="auto"/>
        <w:contextualSpacing/>
        <w:rPr>
          <w:rFonts w:eastAsiaTheme="minorEastAsia"/>
        </w:rPr>
      </w:pPr>
      <w:r w:rsidRPr="00B90508">
        <w:rPr>
          <w:rFonts w:eastAsiaTheme="minorEastAsia"/>
        </w:rPr>
        <w:t xml:space="preserve">Thurston County Development of a </w:t>
      </w:r>
      <w:r w:rsidRPr="00B90508">
        <w:rPr>
          <w:rFonts w:eastAsiaTheme="minorEastAsia"/>
          <w:b/>
        </w:rPr>
        <w:t>Thurston County Riparian Restoration Program</w:t>
      </w:r>
      <w:r w:rsidRPr="00B90508">
        <w:rPr>
          <w:rFonts w:eastAsiaTheme="minorEastAsia"/>
        </w:rPr>
        <w:t xml:space="preserve">. </w:t>
      </w:r>
    </w:p>
    <w:p w14:paraId="7207BD0A"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48" w:name="_Toc463000011"/>
      <w:r w:rsidRPr="00B90508">
        <w:rPr>
          <w:rFonts w:asciiTheme="majorHAnsi" w:eastAsiaTheme="majorEastAsia" w:hAnsiTheme="majorHAnsi" w:cstheme="majorBidi"/>
          <w:color w:val="2B5A8E"/>
          <w:sz w:val="32"/>
          <w:szCs w:val="32"/>
          <w:u w:color="33CC33"/>
        </w:rPr>
        <w:lastRenderedPageBreak/>
        <w:t>Contribution to PSP Vital Signs</w:t>
      </w:r>
      <w:bookmarkEnd w:id="248"/>
    </w:p>
    <w:p w14:paraId="2DEC23BE" w14:textId="77777777" w:rsidR="00B90508" w:rsidRPr="00B90508" w:rsidRDefault="00B90508" w:rsidP="00B90508">
      <w:pPr>
        <w:spacing w:line="276" w:lineRule="auto"/>
        <w:rPr>
          <w:rFonts w:eastAsiaTheme="minorEastAsia"/>
        </w:rPr>
      </w:pPr>
      <w:r w:rsidRPr="00B90508">
        <w:rPr>
          <w:rFonts w:eastAsiaTheme="minorEastAsia"/>
        </w:rPr>
        <w:t xml:space="preserve">The South Sound work on forests and freshwater contributes to progress for multiple PSP Vital Signs including: land cover, floodplains, shellfish beds, Chinook salmon, and orca. </w:t>
      </w:r>
    </w:p>
    <w:p w14:paraId="57240B36" w14:textId="77777777" w:rsidR="00B90508" w:rsidRPr="00B90508" w:rsidRDefault="00B90508" w:rsidP="00B90508">
      <w:pPr>
        <w:spacing w:line="276" w:lineRule="auto"/>
        <w:rPr>
          <w:rFonts w:eastAsiaTheme="minorEastAsia"/>
        </w:rPr>
      </w:pPr>
    </w:p>
    <w:p w14:paraId="1CCEF2A2" w14:textId="77777777" w:rsidR="00B90508" w:rsidRPr="00B90508" w:rsidRDefault="00B90508" w:rsidP="00B90508">
      <w:pPr>
        <w:spacing w:line="276" w:lineRule="auto"/>
        <w:rPr>
          <w:rFonts w:eastAsiaTheme="minorEastAsia"/>
        </w:rPr>
        <w:sectPr w:rsidR="00B90508" w:rsidRPr="00B90508">
          <w:pgSz w:w="12240" w:h="15840"/>
          <w:pgMar w:top="1440" w:right="1440" w:bottom="1440" w:left="1440" w:header="720" w:footer="720" w:gutter="0"/>
          <w:cols w:space="720"/>
        </w:sectPr>
      </w:pPr>
    </w:p>
    <w:p w14:paraId="4A3EE66D"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249" w:name="_Toc463000012"/>
      <w:r w:rsidRPr="00B90508">
        <w:rPr>
          <w:rFonts w:eastAsiaTheme="majorEastAsia" w:cstheme="minorHAnsi"/>
          <w:b/>
          <w:color w:val="FFFFFF" w:themeColor="background1"/>
          <w:sz w:val="36"/>
          <w:szCs w:val="36"/>
        </w:rPr>
        <w:lastRenderedPageBreak/>
        <w:t>Marine Nearshore Habitat</w:t>
      </w:r>
      <w:bookmarkEnd w:id="249"/>
    </w:p>
    <w:p w14:paraId="6A1AB890" w14:textId="77777777" w:rsidR="00B90508" w:rsidRPr="00B90508" w:rsidRDefault="00B90508" w:rsidP="00B90508">
      <w:pPr>
        <w:keepNext/>
        <w:keepLines/>
        <w:spacing w:before="200" w:after="120" w:line="240" w:lineRule="auto"/>
        <w:outlineLvl w:val="1"/>
        <w:rPr>
          <w:rFonts w:asciiTheme="majorHAnsi" w:eastAsia="Calibri" w:hAnsiTheme="majorHAnsi" w:cstheme="majorBidi"/>
          <w:color w:val="2B5A8E"/>
          <w:sz w:val="32"/>
          <w:szCs w:val="32"/>
          <w:u w:color="33CC33"/>
        </w:rPr>
      </w:pPr>
      <w:bookmarkStart w:id="250" w:name="_qrir9w5uba6y" w:colFirst="0" w:colLast="0"/>
      <w:bookmarkStart w:id="251" w:name="_6gfu99n7dr8a" w:colFirst="0" w:colLast="0"/>
      <w:bookmarkStart w:id="252" w:name="_Toc463000013"/>
      <w:bookmarkEnd w:id="250"/>
      <w:bookmarkEnd w:id="251"/>
      <w:r w:rsidRPr="00B90508">
        <w:rPr>
          <w:rFonts w:asciiTheme="majorHAnsi" w:eastAsia="Calibri" w:hAnsiTheme="majorHAnsi" w:cstheme="majorBidi"/>
          <w:color w:val="2B5A8E"/>
          <w:sz w:val="32"/>
          <w:szCs w:val="32"/>
          <w:u w:color="33CC33"/>
        </w:rPr>
        <w:t>Background</w:t>
      </w:r>
      <w:bookmarkEnd w:id="252"/>
    </w:p>
    <w:p w14:paraId="1E276BC5"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Marine nearshore habitat has long been a focus of South Sound ecosystem protection efforts and will remain so. The nearshore is the transitional zone among terrestrial, freshwater, and marine ecosystems. Many of the important and unique characteristics of Puget Sound depend upon the nearshore, including its physical complexity, high productivity, complex food webs, diverse habitats, and diversity of organisms.</w:t>
      </w:r>
      <w:r w:rsidRPr="00B90508">
        <w:rPr>
          <w:rFonts w:ascii="Calibri" w:eastAsia="Calibri" w:hAnsi="Calibri" w:cs="Calibri"/>
          <w:vertAlign w:val="superscript"/>
        </w:rPr>
        <w:footnoteReference w:id="2"/>
      </w:r>
      <w:r w:rsidRPr="00B90508">
        <w:rPr>
          <w:rFonts w:ascii="Calibri" w:eastAsia="Calibri" w:hAnsi="Calibri" w:cs="Calibri"/>
        </w:rPr>
        <w:t xml:space="preserve"> Marine nearshore habitats are some of the primary places where young salmon and steelhead find refuge, food, and passage to the sea. These important rearing, feeding, and migration areas are the result of natural processes that move sediments; provide nutrients, organic matter, and large woody debris from plants; and produce insects and similar marine animals.</w:t>
      </w:r>
      <w:r w:rsidRPr="00B90508">
        <w:rPr>
          <w:rFonts w:ascii="Calibri" w:eastAsia="Calibri" w:hAnsi="Calibri" w:cs="Calibri"/>
          <w:vertAlign w:val="superscript"/>
        </w:rPr>
        <w:footnoteReference w:id="3"/>
      </w:r>
    </w:p>
    <w:p w14:paraId="695E16EB" w14:textId="77777777" w:rsidR="00B90508" w:rsidRPr="00B90508" w:rsidRDefault="00B90508" w:rsidP="00B90508">
      <w:pPr>
        <w:spacing w:line="276" w:lineRule="auto"/>
        <w:rPr>
          <w:rFonts w:eastAsiaTheme="minorEastAsia"/>
        </w:rPr>
      </w:pPr>
      <w:r w:rsidRPr="00B90508">
        <w:rPr>
          <w:rFonts w:ascii="Calibri" w:eastAsia="Calibri" w:hAnsi="Calibri" w:cs="Calibri"/>
        </w:rPr>
        <w:t xml:space="preserve">The finger inlets and various islands in South Sound provide extensive sand and gravel beaches used for spawning by forage fish (i.e. surf smelt and sand lance). Because adult and juvenile Chinook in particular rely on forage fish for a significant portion of their diet, protecting or restoring beaches is critical to salmon populations that originate in South Sound rivers as well as other rivers in the greater Puget Sound ecosystem. </w:t>
      </w:r>
    </w:p>
    <w:p w14:paraId="59A2119B" w14:textId="77777777" w:rsidR="00B90508" w:rsidRPr="00B90508" w:rsidRDefault="00B90508" w:rsidP="00B90508">
      <w:pPr>
        <w:spacing w:line="276" w:lineRule="auto"/>
        <w:rPr>
          <w:rFonts w:eastAsiaTheme="minorEastAsia"/>
        </w:rPr>
      </w:pPr>
      <w:r w:rsidRPr="00B90508">
        <w:rPr>
          <w:rFonts w:ascii="Calibri" w:eastAsia="Calibri" w:hAnsi="Calibri" w:cs="Calibri"/>
        </w:rPr>
        <w:t>Key pressures affecting marine nearshore habitat in Puget Sound include:</w:t>
      </w:r>
    </w:p>
    <w:p w14:paraId="398A5827" w14:textId="77777777" w:rsidR="00B90508" w:rsidRPr="00B90508" w:rsidRDefault="00B90508" w:rsidP="00B90508">
      <w:pPr>
        <w:numPr>
          <w:ilvl w:val="0"/>
          <w:numId w:val="47"/>
        </w:numPr>
        <w:spacing w:line="276" w:lineRule="auto"/>
        <w:contextualSpacing/>
        <w:rPr>
          <w:rFonts w:eastAsiaTheme="minorEastAsia"/>
        </w:rPr>
      </w:pPr>
      <w:r w:rsidRPr="00B90508">
        <w:rPr>
          <w:rFonts w:eastAsia="Calibri"/>
        </w:rPr>
        <w:t>Conversion of land from more natural cover to housing and urban areas</w:t>
      </w:r>
    </w:p>
    <w:p w14:paraId="0B6498C7" w14:textId="77777777" w:rsidR="00B90508" w:rsidRPr="00B90508" w:rsidRDefault="00B90508" w:rsidP="00B90508">
      <w:pPr>
        <w:numPr>
          <w:ilvl w:val="0"/>
          <w:numId w:val="47"/>
        </w:numPr>
        <w:spacing w:line="276" w:lineRule="auto"/>
        <w:contextualSpacing/>
        <w:rPr>
          <w:rFonts w:eastAsiaTheme="minorEastAsia"/>
        </w:rPr>
      </w:pPr>
      <w:r w:rsidRPr="00B90508">
        <w:rPr>
          <w:rFonts w:eastAsia="Calibri"/>
        </w:rPr>
        <w:t>Conversion of land from more natural cover to commercial and industrial areas</w:t>
      </w:r>
    </w:p>
    <w:p w14:paraId="2D45BE25" w14:textId="77777777" w:rsidR="00B90508" w:rsidRPr="00B90508" w:rsidRDefault="00B90508" w:rsidP="00B90508">
      <w:pPr>
        <w:numPr>
          <w:ilvl w:val="0"/>
          <w:numId w:val="47"/>
        </w:numPr>
        <w:spacing w:line="276" w:lineRule="auto"/>
        <w:contextualSpacing/>
        <w:rPr>
          <w:rFonts w:eastAsiaTheme="minorEastAsia"/>
        </w:rPr>
      </w:pPr>
      <w:r w:rsidRPr="00B90508">
        <w:rPr>
          <w:rFonts w:eastAsia="Calibri"/>
        </w:rPr>
        <w:t>Roads &amp; railroads (including culverts)</w:t>
      </w:r>
    </w:p>
    <w:p w14:paraId="679C5F97" w14:textId="77777777" w:rsidR="00B90508" w:rsidRPr="00B90508" w:rsidRDefault="00B90508" w:rsidP="00B90508">
      <w:pPr>
        <w:numPr>
          <w:ilvl w:val="0"/>
          <w:numId w:val="47"/>
        </w:numPr>
        <w:spacing w:line="276" w:lineRule="auto"/>
        <w:contextualSpacing/>
        <w:rPr>
          <w:rFonts w:eastAsiaTheme="minorEastAsia"/>
        </w:rPr>
      </w:pPr>
      <w:r w:rsidRPr="00B90508">
        <w:rPr>
          <w:rFonts w:eastAsia="Calibri"/>
        </w:rPr>
        <w:t>Dams</w:t>
      </w:r>
    </w:p>
    <w:p w14:paraId="750C0F00" w14:textId="77777777" w:rsidR="00B90508" w:rsidRPr="00B90508" w:rsidRDefault="00B90508" w:rsidP="00B90508">
      <w:pPr>
        <w:numPr>
          <w:ilvl w:val="0"/>
          <w:numId w:val="47"/>
        </w:numPr>
        <w:spacing w:line="276" w:lineRule="auto"/>
        <w:contextualSpacing/>
        <w:rPr>
          <w:rFonts w:eastAsiaTheme="minorEastAsia"/>
        </w:rPr>
      </w:pPr>
      <w:r w:rsidRPr="00B90508">
        <w:rPr>
          <w:rFonts w:eastAsia="Calibri"/>
        </w:rPr>
        <w:t>Marine levees, floodgates, tidegates, armoring and other shoreline alterations</w:t>
      </w:r>
    </w:p>
    <w:p w14:paraId="6AA86976" w14:textId="77777777" w:rsidR="00B90508" w:rsidRPr="00B90508" w:rsidRDefault="00B90508" w:rsidP="00B90508">
      <w:pPr>
        <w:numPr>
          <w:ilvl w:val="0"/>
          <w:numId w:val="47"/>
        </w:numPr>
        <w:spacing w:line="276" w:lineRule="auto"/>
        <w:contextualSpacing/>
        <w:rPr>
          <w:rFonts w:eastAsiaTheme="minorEastAsia"/>
        </w:rPr>
      </w:pPr>
      <w:r w:rsidRPr="00B90508">
        <w:rPr>
          <w:rFonts w:eastAsia="Calibri"/>
        </w:rPr>
        <w:t>Marine shoreline infrastructure</w:t>
      </w:r>
    </w:p>
    <w:p w14:paraId="59E2B473" w14:textId="77777777" w:rsidR="00B90508" w:rsidRPr="00B90508" w:rsidRDefault="00B90508" w:rsidP="00DB2B36">
      <w:pPr>
        <w:numPr>
          <w:ilvl w:val="0"/>
          <w:numId w:val="34"/>
        </w:numPr>
        <w:spacing w:after="120" w:line="276" w:lineRule="auto"/>
        <w:rPr>
          <w:rFonts w:eastAsiaTheme="minorEastAsia"/>
        </w:rPr>
      </w:pPr>
      <w:r w:rsidRPr="00DB2B36">
        <w:rPr>
          <w:rFonts w:ascii="Calibri" w:eastAsia="Calibri" w:hAnsi="Calibri" w:cs="Calibri"/>
        </w:rPr>
        <w:t>Tourism</w:t>
      </w:r>
      <w:r w:rsidRPr="00B90508">
        <w:rPr>
          <w:rFonts w:eastAsia="Calibri"/>
        </w:rPr>
        <w:t xml:space="preserve"> &amp; recreation areas</w:t>
      </w:r>
    </w:p>
    <w:p w14:paraId="69317EC9"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53" w:name="_le1hh9t2barc" w:colFirst="0" w:colLast="0"/>
      <w:bookmarkStart w:id="254" w:name="_Toc463000014"/>
      <w:bookmarkEnd w:id="253"/>
      <w:r w:rsidRPr="00B90508">
        <w:rPr>
          <w:rFonts w:asciiTheme="majorHAnsi" w:eastAsiaTheme="majorEastAsia" w:hAnsiTheme="majorHAnsi" w:cstheme="majorBidi"/>
          <w:color w:val="2B5A8E"/>
          <w:sz w:val="32"/>
          <w:szCs w:val="32"/>
          <w:u w:color="33CC33"/>
        </w:rPr>
        <w:t>Baseline and Status</w:t>
      </w:r>
      <w:bookmarkEnd w:id="254"/>
    </w:p>
    <w:p w14:paraId="2AD9CB26" w14:textId="77777777" w:rsidR="00B90508" w:rsidRPr="00B90508" w:rsidRDefault="00B90508" w:rsidP="00B90508">
      <w:pPr>
        <w:spacing w:line="276" w:lineRule="auto"/>
        <w:rPr>
          <w:rFonts w:eastAsiaTheme="minorEastAsia"/>
        </w:rPr>
      </w:pPr>
      <w:r w:rsidRPr="00B90508">
        <w:rPr>
          <w:rFonts w:ascii="Calibri" w:eastAsia="Calibri" w:hAnsi="Calibri" w:cs="Calibri"/>
        </w:rPr>
        <w:t xml:space="preserve">For the South Sound Strategy, marine nearshore habitat is described in eight interrelated ecosystem attributes: intact feeder bluffs, marine riparian vegetation, intact large and small estuaries, eelgrass beds, herring abundance and distribution, , surf smelt and sand lance abundance and distribution, and unmodified (unarmored) shoreline. Each of these attributes contribute to essential processes and functions beneficial to forming and sustaining marine nearshore ecosystems. Feeder bluffs deliver sediment for sustaining beaches and, along with riparian vegetation, provide organic matter and invertebrate prey to the marine nearshore. </w:t>
      </w:r>
      <w:r w:rsidRPr="00B90508">
        <w:rPr>
          <w:rFonts w:eastAsiaTheme="minorEastAsia"/>
        </w:rPr>
        <w:t xml:space="preserve">Surf smelt and sand lance spawn in sand and small gravel substrates in upper intertidal zones easily disrupted by nearshore energy, interrupted sediment supply, and shoreline armoring placed below the ordinary high water line. Large and small estuaries provide </w:t>
      </w:r>
      <w:r w:rsidRPr="00B90508">
        <w:rPr>
          <w:rFonts w:eastAsiaTheme="minorEastAsia"/>
        </w:rPr>
        <w:lastRenderedPageBreak/>
        <w:t>shallow habitats where eelgrass beds grow and provide critical spawning habitat for herring, another important prey item for juvenile salmon.</w:t>
      </w:r>
    </w:p>
    <w:p w14:paraId="00533A63"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255" w:name="_oqk7mevhveie" w:colFirst="0" w:colLast="0"/>
      <w:bookmarkEnd w:id="255"/>
      <w:r w:rsidRPr="00B90508">
        <w:rPr>
          <w:rFonts w:eastAsiaTheme="majorEastAsia" w:cstheme="minorHAnsi"/>
          <w:b/>
          <w:color w:val="595959" w:themeColor="text1" w:themeTint="A6"/>
          <w:sz w:val="24"/>
          <w:szCs w:val="28"/>
        </w:rPr>
        <w:t>Marine Riparian Vegetation</w:t>
      </w:r>
    </w:p>
    <w:p w14:paraId="13F3A9AE"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 xml:space="preserve">Marine riparian vegetation provides shade, woody debris, and detritus to nearshore habitats such as beaches and estuarine wetlands. Riparian vegetation also helps to filter pollutants, stabilize shorelines, and prevent erosion. </w:t>
      </w:r>
    </w:p>
    <w:p w14:paraId="05C13728"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The Alliance evaluated marine riparian cover using the NOAA NOAA Coastal Change Analysis Program (C-CAP) data set, which is a nationally standardized, raster-based inventory of all intertidal areas, wetlands, and adjacent uplands for the coastal U.S. that is derived from the analysis of multiple dates of remotely sensed Landsat imagery. The NOAA C-CAP data is updated every five years through documented, repeatable procedures using standardized data and methods to ensure consistency through time and across geographies. . Areas with deciduous, evergreen, and/or mixed forest were considered to have “intact” marine riparian cover. Of the 400 miles of shoreline in South Sound, approximately 65% (260 miles) currently have intact marine riparian cover (Figure []). Marine riparian habitat is most intact along Totten and Little Skookum Inlets, both sides of Pickering Passage, and around Harstine Island. The shorelines with the least marine riparian habitat include the northern end of Case Inlet, Budd Inlet, and the eastern shoreline near the cities of Steilacoom, University Place, and Tacoma.</w:t>
      </w:r>
    </w:p>
    <w:p w14:paraId="606DAB30" w14:textId="77777777" w:rsidR="00B90508" w:rsidRPr="00B90508" w:rsidRDefault="00B90508" w:rsidP="00B90508">
      <w:pPr>
        <w:spacing w:after="0" w:line="276" w:lineRule="auto"/>
        <w:jc w:val="center"/>
        <w:rPr>
          <w:rFonts w:ascii="Calibri" w:eastAsia="Calibri" w:hAnsi="Calibri" w:cs="Calibri"/>
          <w:highlight w:val="yellow"/>
        </w:rPr>
      </w:pPr>
      <w:r w:rsidRPr="00B90508">
        <w:rPr>
          <w:rFonts w:ascii="Calibri" w:eastAsia="Calibri" w:hAnsi="Calibri" w:cs="Calibri"/>
          <w:noProof/>
        </w:rPr>
        <w:lastRenderedPageBreak/>
        <w:drawing>
          <wp:inline distT="0" distB="0" distL="0" distR="0" wp14:anchorId="31F57781" wp14:editId="30F65E64">
            <wp:extent cx="5943600" cy="4672330"/>
            <wp:effectExtent l="19050" t="19050" r="19050" b="13970"/>
            <wp:docPr id="220" name="Picture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Marine_Riparian_Habitat_ExistingConditions.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5943600" cy="4672330"/>
                    </a:xfrm>
                    <a:prstGeom prst="rect">
                      <a:avLst/>
                    </a:prstGeom>
                    <a:ln w="3175">
                      <a:solidFill>
                        <a:sysClr val="windowText" lastClr="000000"/>
                      </a:solidFill>
                    </a:ln>
                  </pic:spPr>
                </pic:pic>
              </a:graphicData>
            </a:graphic>
          </wp:inline>
        </w:drawing>
      </w:r>
    </w:p>
    <w:p w14:paraId="6A4D4288"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Marine Riparian Habitat – Existing Conditions (NOAA Coastal Change Analysis Program, 2011)</w:t>
      </w:r>
    </w:p>
    <w:p w14:paraId="30FE559E" w14:textId="77777777" w:rsidR="00B90508" w:rsidRPr="00B90508" w:rsidRDefault="00B90508" w:rsidP="00B90508">
      <w:pPr>
        <w:spacing w:line="276" w:lineRule="auto"/>
        <w:rPr>
          <w:rFonts w:eastAsiaTheme="minorEastAsia"/>
        </w:rPr>
      </w:pPr>
      <w:r w:rsidRPr="00B90508">
        <w:rPr>
          <w:rFonts w:eastAsiaTheme="minorEastAsia"/>
        </w:rPr>
        <w:t>The following table provides a summary of marine riparian habitat within each Inlet/Island Group.</w:t>
      </w:r>
    </w:p>
    <w:p w14:paraId="28274BB1"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t>Table X. Marine Riparian Habitat by Inlet/Island Group</w:t>
      </w:r>
    </w:p>
    <w:p w14:paraId="068F8F1C" w14:textId="77777777" w:rsidR="00B90508" w:rsidRPr="00B90508" w:rsidRDefault="00B90508" w:rsidP="00B90508">
      <w:pPr>
        <w:spacing w:after="360" w:line="276" w:lineRule="auto"/>
        <w:jc w:val="center"/>
        <w:rPr>
          <w:rFonts w:ascii="Calibri" w:eastAsia="Calibri" w:hAnsi="Calibri" w:cs="Calibri"/>
          <w:highlight w:val="yellow"/>
        </w:rPr>
      </w:pPr>
      <w:r w:rsidRPr="00B90508">
        <w:rPr>
          <w:rFonts w:eastAsiaTheme="minorEastAsia"/>
          <w:noProof/>
        </w:rPr>
        <w:drawing>
          <wp:inline distT="0" distB="0" distL="0" distR="0" wp14:anchorId="768FE396" wp14:editId="091AF9B7">
            <wp:extent cx="5943600" cy="2131371"/>
            <wp:effectExtent l="19050" t="19050" r="19050" b="21590"/>
            <wp:docPr id="221" name="Picture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43600" cy="2131371"/>
                    </a:xfrm>
                    <a:prstGeom prst="rect">
                      <a:avLst/>
                    </a:prstGeom>
                    <a:noFill/>
                    <a:ln w="3175">
                      <a:solidFill>
                        <a:sysClr val="windowText" lastClr="000000"/>
                      </a:solidFill>
                    </a:ln>
                  </pic:spPr>
                </pic:pic>
              </a:graphicData>
            </a:graphic>
          </wp:inline>
        </w:drawing>
      </w:r>
    </w:p>
    <w:p w14:paraId="4C71D56D" w14:textId="77777777" w:rsidR="00B90508" w:rsidRPr="00B90508" w:rsidRDefault="00B90508" w:rsidP="00B90508">
      <w:pPr>
        <w:keepNext/>
        <w:keepLines/>
        <w:spacing w:after="60" w:line="276" w:lineRule="auto"/>
        <w:outlineLvl w:val="3"/>
        <w:rPr>
          <w:rFonts w:asciiTheme="majorHAnsi" w:eastAsiaTheme="majorEastAsia" w:hAnsiTheme="majorHAnsi" w:cstheme="majorBidi"/>
          <w:color w:val="2E74B5" w:themeColor="accent1" w:themeShade="BF"/>
        </w:rPr>
      </w:pPr>
      <w:r w:rsidRPr="00B90508">
        <w:rPr>
          <w:rFonts w:asciiTheme="majorHAnsi" w:eastAsiaTheme="majorEastAsia" w:hAnsiTheme="majorHAnsi" w:cstheme="majorBidi"/>
          <w:color w:val="2E74B5" w:themeColor="accent1" w:themeShade="BF"/>
        </w:rPr>
        <w:lastRenderedPageBreak/>
        <w:t xml:space="preserve">Target for Marine Riparian Vegetation </w:t>
      </w:r>
    </w:p>
    <w:p w14:paraId="46158F8A" w14:textId="77777777" w:rsidR="00B90508" w:rsidRPr="00B90508" w:rsidRDefault="00B90508" w:rsidP="00B90508">
      <w:pPr>
        <w:spacing w:line="276" w:lineRule="auto"/>
        <w:rPr>
          <w:rFonts w:eastAsiaTheme="minorEastAsia"/>
        </w:rPr>
      </w:pPr>
      <w:r w:rsidRPr="00B90508">
        <w:rPr>
          <w:rFonts w:eastAsiaTheme="minorEastAsia"/>
        </w:rPr>
        <w:t>As with other marine nearshore attributes, the Alliance set ambitious targets oriented towards protecting all the remaining intact habitat in South Sound and restoring all habitat in nearshores identified as a priority in either of two local landscape-scale assessments: the South Sound Coastal Catchment Assessment and the Priority Nearshore Project Selection Tool for Juvenile Salmon. This results in the following target:</w:t>
      </w:r>
    </w:p>
    <w:p w14:paraId="44306BE9" w14:textId="77777777" w:rsidR="00B90508" w:rsidRPr="00B90508" w:rsidRDefault="00B90508" w:rsidP="00B90508">
      <w:pPr>
        <w:spacing w:line="276" w:lineRule="auto"/>
        <w:ind w:left="720"/>
        <w:rPr>
          <w:rFonts w:eastAsiaTheme="minorEastAsia"/>
          <w:i/>
          <w:iCs/>
          <w:color w:val="2B5A8E"/>
        </w:rPr>
      </w:pPr>
      <w:r w:rsidRPr="00B90508">
        <w:rPr>
          <w:rFonts w:eastAsiaTheme="minorEastAsia"/>
          <w:color w:val="2B5A8E"/>
        </w:rPr>
        <w:t>(</w:t>
      </w:r>
      <w:r w:rsidRPr="00B90508">
        <w:rPr>
          <w:rFonts w:eastAsiaTheme="minorEastAsia"/>
          <w:i/>
          <w:iCs/>
          <w:color w:val="2B5A8E"/>
        </w:rPr>
        <w:t>1) Protect all intact marine riparian habitat throughout South Sound, 260 miles, of which 173.8 miles are in priority areas identified in the South Sound Coastal Catchment Assessment and/or the Nearshore Project Selection Tool for Juvenile Salmon; and (2) restore 38.9 miles of degraded marine riparian habitat in the areas identified as a priority in the South Sound Coastal Catchment Assessment and/or the Nearshore Project Selection Tool for Juvenile Salmon.</w:t>
      </w:r>
    </w:p>
    <w:p w14:paraId="10A8AE20" w14:textId="77777777" w:rsidR="00B90508" w:rsidRPr="00B90508" w:rsidRDefault="00B90508" w:rsidP="00B90508">
      <w:pPr>
        <w:spacing w:line="276" w:lineRule="auto"/>
        <w:rPr>
          <w:rFonts w:eastAsiaTheme="minorEastAsia"/>
        </w:rPr>
      </w:pPr>
      <w:r w:rsidRPr="00B90508">
        <w:rPr>
          <w:rFonts w:eastAsiaTheme="minorEastAsia"/>
        </w:rPr>
        <w:t>Figure [] shows marine riparian vegetation in the areas identified as a priority in the South Sound Coastal Catchment Assessment. Figure [] shows it in areas identified as a priority for juvenile salmon. Existing unarmored shoreline (for protection) is shown in Figure [].</w:t>
      </w:r>
    </w:p>
    <w:p w14:paraId="322CCB5B" w14:textId="77777777" w:rsidR="00B90508" w:rsidRPr="00B90508" w:rsidRDefault="00B90508" w:rsidP="00B90508">
      <w:pPr>
        <w:spacing w:after="0" w:line="276" w:lineRule="auto"/>
        <w:jc w:val="center"/>
        <w:rPr>
          <w:rFonts w:eastAsiaTheme="minorEastAsia"/>
        </w:rPr>
      </w:pPr>
      <w:r w:rsidRPr="00B90508">
        <w:rPr>
          <w:rFonts w:eastAsiaTheme="minorEastAsia"/>
          <w:noProof/>
        </w:rPr>
        <w:drawing>
          <wp:inline distT="0" distB="0" distL="0" distR="0" wp14:anchorId="6AEA9DA5" wp14:editId="45AEBDAD">
            <wp:extent cx="5943600" cy="4665346"/>
            <wp:effectExtent l="19050" t="19050" r="19050" b="20955"/>
            <wp:docPr id="222" name="Picture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Marine_Riparian_Habitat_Strategies.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5943600" cy="4665346"/>
                    </a:xfrm>
                    <a:prstGeom prst="rect">
                      <a:avLst/>
                    </a:prstGeom>
                    <a:ln w="3175">
                      <a:solidFill>
                        <a:sysClr val="windowText" lastClr="000000"/>
                      </a:solidFill>
                    </a:ln>
                  </pic:spPr>
                </pic:pic>
              </a:graphicData>
            </a:graphic>
          </wp:inline>
        </w:drawing>
      </w:r>
    </w:p>
    <w:p w14:paraId="7B8231B4"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 Figure X. Marine Riparian Habitat – Squaxin Strategies (Coastal Catchment Assessment)</w:t>
      </w:r>
    </w:p>
    <w:p w14:paraId="4CB9C9D0" w14:textId="77777777" w:rsidR="00B90508" w:rsidRPr="00B90508" w:rsidRDefault="00B90508" w:rsidP="00B90508">
      <w:pPr>
        <w:spacing w:line="276" w:lineRule="auto"/>
        <w:jc w:val="center"/>
        <w:rPr>
          <w:rFonts w:ascii="Calibri" w:eastAsia="Calibri" w:hAnsi="Calibri" w:cs="Calibri"/>
          <w:b/>
        </w:rPr>
      </w:pPr>
      <w:r w:rsidRPr="00B90508">
        <w:rPr>
          <w:rFonts w:ascii="Calibri" w:eastAsia="Calibri" w:hAnsi="Calibri" w:cs="Calibri"/>
          <w:b/>
          <w:noProof/>
        </w:rPr>
        <w:lastRenderedPageBreak/>
        <w:drawing>
          <wp:inline distT="0" distB="0" distL="0" distR="0" wp14:anchorId="5BAF5DB4" wp14:editId="71AAA3A5">
            <wp:extent cx="5943600" cy="4656455"/>
            <wp:effectExtent l="19050" t="19050" r="19050" b="10795"/>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_Marine_Riparian_Habitat_NPST_Priorities.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43600" cy="4656455"/>
                    </a:xfrm>
                    <a:prstGeom prst="rect">
                      <a:avLst/>
                    </a:prstGeom>
                    <a:ln w="3175">
                      <a:solidFill>
                        <a:sysClr val="windowText" lastClr="000000"/>
                      </a:solidFill>
                    </a:ln>
                  </pic:spPr>
                </pic:pic>
              </a:graphicData>
            </a:graphic>
          </wp:inline>
        </w:drawing>
      </w:r>
    </w:p>
    <w:p w14:paraId="0E80217C"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Figure X. Marine Riparian Habitat – Squaxin NPST Priority Areas (Squaxin Island Tribe Nearshore Project Selection </w:t>
      </w:r>
      <w:r w:rsidRPr="00B90508">
        <w:rPr>
          <w:rFonts w:ascii="Calibri" w:eastAsia="Calibri" w:hAnsi="Calibri" w:cs="Calibri"/>
          <w:b/>
          <w:sz w:val="18"/>
        </w:rPr>
        <w:br/>
        <w:t>Tool for Juvenile Salmon)</w:t>
      </w:r>
    </w:p>
    <w:p w14:paraId="64913B41"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 xml:space="preserve">Estuaries </w:t>
      </w:r>
      <w:bookmarkStart w:id="256" w:name="_o4wpo54b50r" w:colFirst="0" w:colLast="0"/>
      <w:bookmarkEnd w:id="256"/>
    </w:p>
    <w:p w14:paraId="329B2912" w14:textId="77777777" w:rsidR="00B90508" w:rsidRPr="00B90508" w:rsidRDefault="00B90508" w:rsidP="00B90508">
      <w:pPr>
        <w:spacing w:line="276" w:lineRule="auto"/>
        <w:rPr>
          <w:rFonts w:eastAsiaTheme="minorEastAsia"/>
        </w:rPr>
      </w:pPr>
      <w:r w:rsidRPr="00B90508">
        <w:rPr>
          <w:rFonts w:ascii="Calibri" w:eastAsia="Calibri" w:hAnsi="Calibri" w:cs="Calibri"/>
        </w:rPr>
        <w:t>Estuaries are one of the most productive habitats on the planet. In Puget Sound, estuaries of all sizes from small “pocket estuaries” to large river deltas are vital habitat for Chinook and other salmon. Pocket estuaries such as those common in South Sound provide critical functions, including rearing (feeding and growth), refuge from predators and extreme events, and opportunity for physiological transition for juvenile salmon, primarily early fry migrants of very small size. The importance of estuary habitat for natal and non-natal Chinook has been widely documented, and estuary restoration is considered a top priority for salmon recovery.</w:t>
      </w:r>
    </w:p>
    <w:p w14:paraId="05836611" w14:textId="77777777" w:rsidR="00B90508" w:rsidRPr="00B90508" w:rsidRDefault="00B90508" w:rsidP="00B90508">
      <w:pPr>
        <w:spacing w:line="276" w:lineRule="auto"/>
        <w:rPr>
          <w:rFonts w:ascii="Calibri" w:eastAsia="Calibri" w:hAnsi="Calibri" w:cs="Calibri"/>
        </w:rPr>
      </w:pPr>
      <w:bookmarkStart w:id="257" w:name="_fxgt0ulu17by" w:colFirst="0" w:colLast="0"/>
      <w:bookmarkEnd w:id="257"/>
      <w:r w:rsidRPr="00B90508">
        <w:rPr>
          <w:rFonts w:ascii="Calibri" w:eastAsia="Calibri" w:hAnsi="Calibri" w:cs="Calibri"/>
        </w:rPr>
        <w:t xml:space="preserve">The Alliance defined large estuaries as including both the large South Sound river systems (Nisqually and Deschutes) and the Tier 1 streams in each Water Resource Inventory Area. Using this definition, large estuaries comprise approximately 18 miles of the South Sound shoreline with the Nisqually delta as the largest (Figure []). </w:t>
      </w:r>
    </w:p>
    <w:p w14:paraId="1CEF5B71" w14:textId="77777777" w:rsidR="00B90508" w:rsidRPr="00B90508" w:rsidRDefault="00B90508" w:rsidP="00B90508">
      <w:pPr>
        <w:spacing w:after="0" w:line="276" w:lineRule="auto"/>
        <w:rPr>
          <w:rFonts w:eastAsiaTheme="minorEastAsia"/>
        </w:rPr>
      </w:pPr>
      <w:r w:rsidRPr="00B90508">
        <w:rPr>
          <w:rFonts w:eastAsiaTheme="minorEastAsia"/>
          <w:noProof/>
        </w:rPr>
        <w:lastRenderedPageBreak/>
        <w:drawing>
          <wp:inline distT="0" distB="0" distL="0" distR="0" wp14:anchorId="3A54E84E" wp14:editId="6660B972">
            <wp:extent cx="5943600" cy="4706620"/>
            <wp:effectExtent l="0" t="0" r="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LargeEstuaries_ExistingConditions.jpg"/>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5943600" cy="4706620"/>
                    </a:xfrm>
                    <a:prstGeom prst="rect">
                      <a:avLst/>
                    </a:prstGeom>
                  </pic:spPr>
                </pic:pic>
              </a:graphicData>
            </a:graphic>
          </wp:inline>
        </w:drawing>
      </w:r>
    </w:p>
    <w:p w14:paraId="2593B98C"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Large Estuaries – Existing Conditions (Squaxin Island Tribe Nearshore Assessment Tool)</w:t>
      </w:r>
    </w:p>
    <w:p w14:paraId="2F41EBE1"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 xml:space="preserve">Portions of estuary shorelines are armored with riprap, bulkheads, or other hard structures and are thus characterized as “degraded” in the Squaxin Nearshore Assessment - Shoreline Modifications Layer. The Alliance defined a large estuary as "intact" if the shoreline contains is less than 12% modifications. As shown in the following table, four of the inlet/island groups only have 1 large intact estuary, while the other three inlet/island groups have 3 intact estuaries based on the amount of modified shoreline. </w:t>
      </w:r>
    </w:p>
    <w:p w14:paraId="0F02DD2D"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lastRenderedPageBreak/>
        <w:t>Table []</w:t>
      </w:r>
    </w:p>
    <w:p w14:paraId="7BEBB0EE" w14:textId="77777777" w:rsidR="00B90508" w:rsidRPr="00B90508" w:rsidRDefault="00B90508" w:rsidP="00B90508">
      <w:pPr>
        <w:spacing w:after="360" w:line="276" w:lineRule="auto"/>
        <w:jc w:val="center"/>
        <w:rPr>
          <w:rFonts w:ascii="Calibri" w:eastAsia="Calibri" w:hAnsi="Calibri" w:cs="Calibri"/>
        </w:rPr>
      </w:pPr>
      <w:r w:rsidRPr="00B90508">
        <w:rPr>
          <w:rFonts w:eastAsiaTheme="minorEastAsia"/>
          <w:noProof/>
        </w:rPr>
        <w:drawing>
          <wp:inline distT="0" distB="0" distL="0" distR="0" wp14:anchorId="27B744B3" wp14:editId="3CD34B4A">
            <wp:extent cx="5943600" cy="2500211"/>
            <wp:effectExtent l="19050" t="19050" r="19050" b="14605"/>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43600" cy="2500211"/>
                    </a:xfrm>
                    <a:prstGeom prst="rect">
                      <a:avLst/>
                    </a:prstGeom>
                    <a:noFill/>
                    <a:ln w="3175">
                      <a:solidFill>
                        <a:sysClr val="windowText" lastClr="000000"/>
                      </a:solidFill>
                    </a:ln>
                  </pic:spPr>
                </pic:pic>
              </a:graphicData>
            </a:graphic>
          </wp:inline>
        </w:drawing>
      </w:r>
    </w:p>
    <w:p w14:paraId="1BEF9366" w14:textId="77777777" w:rsidR="00B90508" w:rsidRPr="00B90508" w:rsidRDefault="00B90508" w:rsidP="00B90508">
      <w:pPr>
        <w:spacing w:line="276" w:lineRule="auto"/>
        <w:rPr>
          <w:rFonts w:ascii="Calibri" w:eastAsia="Calibri" w:hAnsi="Calibri" w:cs="Calibri"/>
        </w:rPr>
      </w:pPr>
      <w:bookmarkStart w:id="258" w:name="_cwtp6t1y7td3" w:colFirst="0" w:colLast="0"/>
      <w:bookmarkEnd w:id="258"/>
      <w:r w:rsidRPr="00B90508">
        <w:rPr>
          <w:rFonts w:ascii="Calibri" w:eastAsia="Calibri" w:hAnsi="Calibri" w:cs="Calibri"/>
        </w:rPr>
        <w:t xml:space="preserve">Pocket estuaries form where small streams meet the Puget Sound, creating a unique and important environment where freshwater mixes with saltwater and sediments collect. Small pocket estuaries comprise approximately 20 miles of the South Sound shoreline although some have been heavily modified by development, including nearshore fill and shoreline armoring (Figure []). </w:t>
      </w:r>
    </w:p>
    <w:p w14:paraId="50F66A20" w14:textId="77777777" w:rsidR="00B90508" w:rsidRPr="00B90508" w:rsidRDefault="00B90508" w:rsidP="00B90508">
      <w:pPr>
        <w:spacing w:after="0" w:line="276" w:lineRule="auto"/>
        <w:jc w:val="center"/>
        <w:rPr>
          <w:rFonts w:ascii="Calibri" w:eastAsia="Calibri" w:hAnsi="Calibri" w:cs="Calibri"/>
        </w:rPr>
      </w:pPr>
      <w:r w:rsidRPr="00B90508">
        <w:rPr>
          <w:rFonts w:ascii="Calibri" w:eastAsia="Calibri" w:hAnsi="Calibri" w:cs="Calibri"/>
          <w:noProof/>
        </w:rPr>
        <w:lastRenderedPageBreak/>
        <w:drawing>
          <wp:inline distT="0" distB="0" distL="0" distR="0" wp14:anchorId="10FC1B92" wp14:editId="32BA60AB">
            <wp:extent cx="5943600" cy="4711700"/>
            <wp:effectExtent l="19050" t="19050" r="19050" b="12700"/>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Intact_SmallPocket_Estuaries_ExistingConditions.jpg"/>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5943600" cy="4711700"/>
                    </a:xfrm>
                    <a:prstGeom prst="rect">
                      <a:avLst/>
                    </a:prstGeom>
                    <a:ln w="3175">
                      <a:solidFill>
                        <a:sysClr val="windowText" lastClr="000000"/>
                      </a:solidFill>
                    </a:ln>
                  </pic:spPr>
                </pic:pic>
              </a:graphicData>
            </a:graphic>
          </wp:inline>
        </w:drawing>
      </w:r>
    </w:p>
    <w:p w14:paraId="18521EB3"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Small Pocket Estuaries – Existing Conditions (Squaxin Island Tribe Nearshore Assessment Tool)</w:t>
      </w:r>
    </w:p>
    <w:p w14:paraId="21708109"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To determine the amount of small estuary shoreline as intact or degraded (i.e. modified), the Alliance used the same methods as for large estuaries (i.e., Squaxin Nearshore Assessment - Shoreline Modifications Layer). As shown in the following table, Totten &amp; Little Skookum Inlets, Eld Inlet, and Henderson Inlet have the greatest amount of intact small estuaries while Budd Inlet has the least.</w:t>
      </w:r>
    </w:p>
    <w:p w14:paraId="7412FF19"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lastRenderedPageBreak/>
        <w:t>Table []</w:t>
      </w:r>
    </w:p>
    <w:p w14:paraId="17D15134" w14:textId="77777777" w:rsidR="00B90508" w:rsidRPr="00B90508" w:rsidRDefault="00B90508" w:rsidP="00B90508">
      <w:pPr>
        <w:spacing w:after="360" w:line="276" w:lineRule="auto"/>
        <w:jc w:val="center"/>
        <w:rPr>
          <w:rFonts w:ascii="Calibri" w:eastAsia="Calibri" w:hAnsi="Calibri" w:cs="Calibri"/>
        </w:rPr>
      </w:pPr>
      <w:r w:rsidRPr="00B90508">
        <w:rPr>
          <w:rFonts w:eastAsiaTheme="minorEastAsia"/>
          <w:noProof/>
        </w:rPr>
        <w:drawing>
          <wp:inline distT="0" distB="0" distL="0" distR="0" wp14:anchorId="331B558A" wp14:editId="3AAD6BAB">
            <wp:extent cx="5943600" cy="2239488"/>
            <wp:effectExtent l="19050" t="19050" r="19050" b="27940"/>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943600" cy="2239488"/>
                    </a:xfrm>
                    <a:prstGeom prst="rect">
                      <a:avLst/>
                    </a:prstGeom>
                    <a:noFill/>
                    <a:ln w="3175">
                      <a:solidFill>
                        <a:sysClr val="windowText" lastClr="000000"/>
                      </a:solidFill>
                    </a:ln>
                  </pic:spPr>
                </pic:pic>
              </a:graphicData>
            </a:graphic>
          </wp:inline>
        </w:drawing>
      </w:r>
    </w:p>
    <w:p w14:paraId="5424F9C0" w14:textId="77777777" w:rsidR="00B90508" w:rsidRPr="00B90508" w:rsidRDefault="00B90508" w:rsidP="00B90508">
      <w:pPr>
        <w:keepNext/>
        <w:keepLines/>
        <w:spacing w:after="60" w:line="276" w:lineRule="auto"/>
        <w:outlineLvl w:val="3"/>
        <w:rPr>
          <w:rFonts w:asciiTheme="majorHAnsi" w:eastAsiaTheme="majorEastAsia" w:hAnsiTheme="majorHAnsi" w:cstheme="majorBidi"/>
          <w:color w:val="2E74B5" w:themeColor="accent1" w:themeShade="BF"/>
        </w:rPr>
      </w:pPr>
      <w:bookmarkStart w:id="259" w:name="_aw1gcy254i7" w:colFirst="0" w:colLast="0"/>
      <w:bookmarkEnd w:id="259"/>
      <w:r w:rsidRPr="00B90508">
        <w:rPr>
          <w:rFonts w:asciiTheme="majorHAnsi" w:eastAsiaTheme="majorEastAsia" w:hAnsiTheme="majorHAnsi" w:cstheme="majorBidi"/>
          <w:color w:val="2E74B5" w:themeColor="accent1" w:themeShade="BF"/>
        </w:rPr>
        <w:t>Targets for Estuaries</w:t>
      </w:r>
    </w:p>
    <w:p w14:paraId="298E2DFE" w14:textId="77777777" w:rsidR="00B90508" w:rsidRPr="00B90508" w:rsidRDefault="00B90508" w:rsidP="00B90508">
      <w:pPr>
        <w:spacing w:line="276" w:lineRule="auto"/>
        <w:rPr>
          <w:rFonts w:eastAsiaTheme="minorEastAsia"/>
        </w:rPr>
      </w:pPr>
      <w:r w:rsidRPr="00B90508">
        <w:rPr>
          <w:rFonts w:eastAsiaTheme="minorEastAsia"/>
        </w:rPr>
        <w:t>The Alliance seeks to restore all large estuaries in South Sound set ambitious targets oriented towards protecting all the remaining intact habitat in South Sound and restoring all habitat in nearshores identified as a priority in either of two local landscape-scale assessments: the South Sound Coastal Catchment Assessment and the Priority Nearshore Project Selection Tool for Juvenile Salmon. This results in the following targets.</w:t>
      </w:r>
    </w:p>
    <w:p w14:paraId="4E872AAF" w14:textId="77777777" w:rsidR="00B90508" w:rsidRPr="00B90508" w:rsidRDefault="00B90508" w:rsidP="00B90508">
      <w:pPr>
        <w:spacing w:line="276" w:lineRule="auto"/>
        <w:rPr>
          <w:rFonts w:eastAsiaTheme="minorEastAsia"/>
        </w:rPr>
      </w:pPr>
      <w:r w:rsidRPr="00B90508">
        <w:rPr>
          <w:rFonts w:eastAsiaTheme="minorEastAsia"/>
        </w:rPr>
        <w:t>For large estuaries:</w:t>
      </w:r>
    </w:p>
    <w:p w14:paraId="327D6B5E" w14:textId="77777777" w:rsidR="00B90508" w:rsidRPr="00B90508" w:rsidRDefault="00B90508" w:rsidP="00B90508">
      <w:pPr>
        <w:spacing w:line="276" w:lineRule="auto"/>
        <w:ind w:left="720"/>
        <w:rPr>
          <w:rFonts w:eastAsiaTheme="minorEastAsia"/>
          <w:i/>
          <w:iCs/>
          <w:color w:val="2B5A8E"/>
        </w:rPr>
      </w:pPr>
      <w:r w:rsidRPr="00B90508">
        <w:rPr>
          <w:rFonts w:eastAsiaTheme="minorEastAsia"/>
          <w:i/>
          <w:iCs/>
          <w:color w:val="2B5A8E"/>
        </w:rPr>
        <w:t xml:space="preserve"> (1) Protect all intact large estuary shoreline throughout South Sound, 15.7 miles, of which 14.6 miles are in the areas identified as a priority in the South Sound Coastal Catchment Assessment and/or the Nearshore Project Selection Tool for Juvenile Salmon; and (2) restore 1.6 miles of degraded large estuary habitat in the areas identified as a priority in the Nearshore Project Selection Tool for Juvenile Salmon.</w:t>
      </w:r>
    </w:p>
    <w:p w14:paraId="108CCF4A" w14:textId="77777777" w:rsidR="00B90508" w:rsidRPr="00B90508" w:rsidRDefault="00B90508" w:rsidP="00B90508">
      <w:pPr>
        <w:spacing w:line="276" w:lineRule="auto"/>
        <w:rPr>
          <w:rFonts w:eastAsiaTheme="minorEastAsia"/>
          <w:iCs/>
        </w:rPr>
      </w:pPr>
      <w:r w:rsidRPr="00B90508">
        <w:rPr>
          <w:rFonts w:eastAsiaTheme="minorEastAsia"/>
        </w:rPr>
        <w:t xml:space="preserve">Figure [] shows large estuaries in the areas identified as a priority in the South Sound Coastal Catchment Assessment. Figure [] shows large estuaries in areas identified as a priority for juvenile salmon. </w:t>
      </w:r>
    </w:p>
    <w:p w14:paraId="04F91112" w14:textId="77777777" w:rsidR="00B90508" w:rsidRPr="00B90508" w:rsidRDefault="00B90508" w:rsidP="00B90508">
      <w:pPr>
        <w:spacing w:line="276" w:lineRule="auto"/>
        <w:jc w:val="center"/>
        <w:rPr>
          <w:rFonts w:eastAsiaTheme="minorEastAsia"/>
          <w:iCs/>
        </w:rPr>
      </w:pPr>
      <w:r w:rsidRPr="00B90508">
        <w:rPr>
          <w:rFonts w:eastAsiaTheme="minorEastAsia"/>
          <w:iCs/>
          <w:noProof/>
        </w:rPr>
        <w:lastRenderedPageBreak/>
        <w:drawing>
          <wp:inline distT="0" distB="0" distL="0" distR="0" wp14:anchorId="2A08657A" wp14:editId="1F29B172">
            <wp:extent cx="5943600" cy="4712970"/>
            <wp:effectExtent l="19050" t="19050" r="19050" b="1143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LargeEstuaries_Strategies.jpg"/>
                    <pic:cNvPicPr/>
                  </pic:nvPicPr>
                  <pic:blipFill>
                    <a:blip r:embed="rId110" cstate="print">
                      <a:extLst>
                        <a:ext uri="{28A0092B-C50C-407E-A947-70E740481C1C}">
                          <a14:useLocalDpi xmlns:a14="http://schemas.microsoft.com/office/drawing/2010/main" val="0"/>
                        </a:ext>
                      </a:extLst>
                    </a:blip>
                    <a:stretch>
                      <a:fillRect/>
                    </a:stretch>
                  </pic:blipFill>
                  <pic:spPr>
                    <a:xfrm>
                      <a:off x="0" y="0"/>
                      <a:ext cx="5943600" cy="4712970"/>
                    </a:xfrm>
                    <a:prstGeom prst="rect">
                      <a:avLst/>
                    </a:prstGeom>
                    <a:ln w="3175">
                      <a:solidFill>
                        <a:sysClr val="windowText" lastClr="000000"/>
                      </a:solidFill>
                    </a:ln>
                  </pic:spPr>
                </pic:pic>
              </a:graphicData>
            </a:graphic>
          </wp:inline>
        </w:drawing>
      </w:r>
    </w:p>
    <w:p w14:paraId="62108214" w14:textId="77777777" w:rsidR="00B90508" w:rsidRPr="00B90508" w:rsidRDefault="00B90508" w:rsidP="00B90508">
      <w:pPr>
        <w:spacing w:before="100" w:after="300" w:line="276" w:lineRule="auto"/>
        <w:jc w:val="center"/>
        <w:rPr>
          <w:rFonts w:ascii="Calibri" w:eastAsia="Calibri" w:hAnsi="Calibri" w:cs="Calibri"/>
          <w:b/>
          <w:iCs/>
          <w:sz w:val="18"/>
        </w:rPr>
      </w:pPr>
      <w:r w:rsidRPr="00B90508">
        <w:rPr>
          <w:rFonts w:ascii="Calibri" w:eastAsia="Calibri" w:hAnsi="Calibri" w:cs="Calibri"/>
          <w:b/>
          <w:sz w:val="18"/>
        </w:rPr>
        <w:t>Figure X. Large Estuaries – Squaxin Strategies (Coastal Catchment Assessment)</w:t>
      </w:r>
    </w:p>
    <w:p w14:paraId="2E5B2F5B" w14:textId="77777777" w:rsidR="00B90508" w:rsidRPr="00B90508" w:rsidRDefault="00B90508" w:rsidP="00B90508">
      <w:pPr>
        <w:spacing w:after="0" w:line="276" w:lineRule="auto"/>
        <w:jc w:val="center"/>
        <w:rPr>
          <w:rFonts w:eastAsiaTheme="minorEastAsia"/>
          <w:iCs/>
        </w:rPr>
      </w:pPr>
      <w:r w:rsidRPr="00B90508">
        <w:rPr>
          <w:rFonts w:eastAsiaTheme="minorEastAsia"/>
          <w:iCs/>
          <w:noProof/>
        </w:rPr>
        <w:lastRenderedPageBreak/>
        <w:drawing>
          <wp:inline distT="0" distB="0" distL="0" distR="0" wp14:anchorId="1D8917C4" wp14:editId="2F617A45">
            <wp:extent cx="5943600" cy="4706620"/>
            <wp:effectExtent l="19050" t="19050" r="19050" b="17780"/>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_LargeEstuaries_NPST.jp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5943600" cy="4706620"/>
                    </a:xfrm>
                    <a:prstGeom prst="rect">
                      <a:avLst/>
                    </a:prstGeom>
                    <a:ln w="3175">
                      <a:solidFill>
                        <a:sysClr val="windowText" lastClr="000000"/>
                      </a:solidFill>
                    </a:ln>
                  </pic:spPr>
                </pic:pic>
              </a:graphicData>
            </a:graphic>
          </wp:inline>
        </w:drawing>
      </w:r>
    </w:p>
    <w:p w14:paraId="7B3473B9"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Figure X. Large Estuaries – Squaxin NPST Priority Areas (Squaxin Island Tribe Nearshore Project Selection Tool for </w:t>
      </w:r>
      <w:r w:rsidRPr="00B90508">
        <w:rPr>
          <w:rFonts w:ascii="Calibri" w:eastAsia="Calibri" w:hAnsi="Calibri" w:cs="Calibri"/>
          <w:b/>
          <w:sz w:val="18"/>
        </w:rPr>
        <w:br/>
        <w:t>Juvenile Salmon)</w:t>
      </w:r>
    </w:p>
    <w:p w14:paraId="26486CDB" w14:textId="77777777" w:rsidR="00B90508" w:rsidRPr="00B90508" w:rsidRDefault="00B90508" w:rsidP="00B90508">
      <w:pPr>
        <w:spacing w:line="276" w:lineRule="auto"/>
        <w:rPr>
          <w:rFonts w:eastAsiaTheme="minorEastAsia"/>
          <w:iCs/>
        </w:rPr>
      </w:pPr>
      <w:r w:rsidRPr="00B90508">
        <w:rPr>
          <w:rFonts w:eastAsiaTheme="minorEastAsia"/>
          <w:i/>
          <w:iCs/>
        </w:rPr>
        <w:t xml:space="preserve">For small estuaries: </w:t>
      </w:r>
    </w:p>
    <w:p w14:paraId="4384CFB8" w14:textId="77777777" w:rsidR="00B90508" w:rsidRPr="00B90508" w:rsidRDefault="00B90508" w:rsidP="00B90508">
      <w:pPr>
        <w:spacing w:line="276" w:lineRule="auto"/>
        <w:ind w:left="720"/>
        <w:rPr>
          <w:rFonts w:eastAsiaTheme="minorEastAsia"/>
          <w:i/>
          <w:iCs/>
          <w:color w:val="2B5A8E"/>
        </w:rPr>
      </w:pPr>
      <w:r w:rsidRPr="00B90508">
        <w:rPr>
          <w:rFonts w:eastAsiaTheme="minorEastAsia"/>
          <w:i/>
          <w:iCs/>
          <w:color w:val="2B5A8E"/>
        </w:rPr>
        <w:t>(1) Protect all intact small estuary shoreline throughout South Sound, 278.6 miles, of which 193.1 miles are in the areas identified as a priority in the South Sound Coastal Catchment Assessment and/or the Nearshore Project Selection Tool for Juvenile Salmon; and (2) Restore 61.3 miles of modified shoreline in the areas identified as a priority in the South Sound Coastal Catchment Assessment and/or the Nearshore Project Selection Tool for Juvenile Salmon.</w:t>
      </w:r>
    </w:p>
    <w:p w14:paraId="5921AE98" w14:textId="77777777" w:rsidR="00B90508" w:rsidRPr="00B90508" w:rsidRDefault="00B90508" w:rsidP="00B90508">
      <w:pPr>
        <w:spacing w:line="276" w:lineRule="auto"/>
        <w:rPr>
          <w:rFonts w:eastAsiaTheme="minorEastAsia"/>
        </w:rPr>
      </w:pPr>
      <w:r w:rsidRPr="00B90508">
        <w:rPr>
          <w:rFonts w:eastAsiaTheme="minorEastAsia"/>
        </w:rPr>
        <w:t>Figure [] shows estuaries in the areas identified as a priority in the South Sound Coastal Catchment Assessment. Figure [] shows estuaries in areas identified as a priority for juvenile salmon. Existing unarmored shoreline (for protection) is shown in Figure [].</w:t>
      </w:r>
    </w:p>
    <w:p w14:paraId="7C33D482" w14:textId="77777777" w:rsidR="00B90508" w:rsidRPr="00B90508" w:rsidRDefault="00B90508" w:rsidP="00B90508">
      <w:pPr>
        <w:spacing w:after="0" w:line="276" w:lineRule="auto"/>
        <w:rPr>
          <w:rFonts w:eastAsiaTheme="minorEastAsia"/>
        </w:rPr>
      </w:pPr>
      <w:r w:rsidRPr="00B90508">
        <w:rPr>
          <w:rFonts w:eastAsiaTheme="minorEastAsia"/>
          <w:iCs/>
          <w:noProof/>
        </w:rPr>
        <w:lastRenderedPageBreak/>
        <w:drawing>
          <wp:inline distT="0" distB="0" distL="0" distR="0" wp14:anchorId="499C6828" wp14:editId="10549E20">
            <wp:extent cx="5943600" cy="4706620"/>
            <wp:effectExtent l="19050" t="19050" r="19050" b="17780"/>
            <wp:docPr id="230" name="Picture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Intact_SmallPocket_Estuaries_Strategies.jp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943600" cy="4706620"/>
                    </a:xfrm>
                    <a:prstGeom prst="rect">
                      <a:avLst/>
                    </a:prstGeom>
                    <a:ln w="3175">
                      <a:solidFill>
                        <a:sysClr val="windowText" lastClr="000000"/>
                      </a:solidFill>
                    </a:ln>
                  </pic:spPr>
                </pic:pic>
              </a:graphicData>
            </a:graphic>
          </wp:inline>
        </w:drawing>
      </w:r>
    </w:p>
    <w:p w14:paraId="6B6C7084" w14:textId="77777777" w:rsidR="00B90508" w:rsidRPr="00B90508" w:rsidRDefault="00B90508" w:rsidP="00B90508">
      <w:pPr>
        <w:spacing w:before="100" w:after="300" w:line="276" w:lineRule="auto"/>
        <w:jc w:val="center"/>
        <w:rPr>
          <w:rFonts w:ascii="Calibri" w:eastAsia="Calibri" w:hAnsi="Calibri" w:cs="Calibri"/>
          <w:b/>
          <w:iCs/>
          <w:sz w:val="18"/>
        </w:rPr>
      </w:pPr>
      <w:r w:rsidRPr="00B90508">
        <w:rPr>
          <w:rFonts w:ascii="Calibri" w:eastAsia="Calibri" w:hAnsi="Calibri" w:cs="Calibri"/>
          <w:b/>
          <w:sz w:val="18"/>
        </w:rPr>
        <w:t>Figure X. Small Pocket Estuaries – Squaxin Strategies (Coastal Catchment Assessment)</w:t>
      </w:r>
    </w:p>
    <w:p w14:paraId="3A256A5F" w14:textId="77777777" w:rsidR="00B90508" w:rsidRPr="00B90508" w:rsidRDefault="00B90508" w:rsidP="00B90508">
      <w:pPr>
        <w:spacing w:after="0" w:line="276" w:lineRule="auto"/>
        <w:jc w:val="center"/>
        <w:rPr>
          <w:rFonts w:eastAsiaTheme="minorEastAsia"/>
          <w:iCs/>
        </w:rPr>
      </w:pPr>
      <w:r w:rsidRPr="00B90508">
        <w:rPr>
          <w:rFonts w:eastAsiaTheme="minorEastAsia"/>
          <w:iCs/>
          <w:noProof/>
        </w:rPr>
        <w:lastRenderedPageBreak/>
        <w:drawing>
          <wp:inline distT="0" distB="0" distL="0" distR="0" wp14:anchorId="1942F211" wp14:editId="384D31BF">
            <wp:extent cx="5943600" cy="4712970"/>
            <wp:effectExtent l="19050" t="19050" r="19050" b="1143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4_Intact_SmallPocket_Estuaries_NPST.jpg"/>
                    <pic:cNvPicPr/>
                  </pic:nvPicPr>
                  <pic:blipFill>
                    <a:blip r:embed="rId113" cstate="print">
                      <a:extLst>
                        <a:ext uri="{28A0092B-C50C-407E-A947-70E740481C1C}">
                          <a14:useLocalDpi xmlns:a14="http://schemas.microsoft.com/office/drawing/2010/main" val="0"/>
                        </a:ext>
                      </a:extLst>
                    </a:blip>
                    <a:stretch>
                      <a:fillRect/>
                    </a:stretch>
                  </pic:blipFill>
                  <pic:spPr>
                    <a:xfrm>
                      <a:off x="0" y="0"/>
                      <a:ext cx="5943600" cy="4712970"/>
                    </a:xfrm>
                    <a:prstGeom prst="rect">
                      <a:avLst/>
                    </a:prstGeom>
                    <a:ln w="3175">
                      <a:solidFill>
                        <a:sysClr val="windowText" lastClr="000000"/>
                      </a:solidFill>
                    </a:ln>
                  </pic:spPr>
                </pic:pic>
              </a:graphicData>
            </a:graphic>
          </wp:inline>
        </w:drawing>
      </w:r>
    </w:p>
    <w:p w14:paraId="486E8013"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Figure X. Small Pocket Estuaries – Squaxin NPST Priority Areas (Squaxin Island Tribe Nearshore Project Selection </w:t>
      </w:r>
      <w:r w:rsidRPr="00B90508">
        <w:rPr>
          <w:rFonts w:ascii="Calibri" w:eastAsia="Calibri" w:hAnsi="Calibri" w:cs="Calibri"/>
          <w:b/>
          <w:sz w:val="18"/>
        </w:rPr>
        <w:br/>
        <w:t>Tool for Juvenile Salmon)</w:t>
      </w:r>
    </w:p>
    <w:p w14:paraId="52343045" w14:textId="77777777" w:rsidR="00B90508" w:rsidRPr="00B90508" w:rsidRDefault="00B90508" w:rsidP="00B90508">
      <w:pPr>
        <w:spacing w:line="276" w:lineRule="auto"/>
        <w:rPr>
          <w:rFonts w:eastAsiaTheme="minorEastAsia"/>
        </w:rPr>
      </w:pPr>
      <w:r w:rsidRPr="00B90508">
        <w:rPr>
          <w:rFonts w:eastAsiaTheme="minorEastAsia"/>
          <w:i/>
          <w:iCs/>
        </w:rPr>
        <w:t xml:space="preserve">Like other marine nearshore targets, these are ambitious; however, the Alliance is optimistic that with funding they can be achieved in a reasonable timeframe. </w:t>
      </w:r>
      <w:r w:rsidRPr="00B90508">
        <w:rPr>
          <w:rFonts w:eastAsiaTheme="minorEastAsia"/>
        </w:rPr>
        <w:t xml:space="preserve">South Sound has historically and will continue to place a very high priority on estuary protection and restoration, and has made significant progress in this area. </w:t>
      </w:r>
      <w:r w:rsidRPr="00B90508">
        <w:rPr>
          <w:rFonts w:ascii="Calibri" w:eastAsia="Calibri" w:hAnsi="Calibri" w:cs="Calibri"/>
        </w:rPr>
        <w:t>In 2014 South Sound identified four specific estuary restoration projects for inclusion in the Puget Sound Action Agenda. These were: (1) the Chambers Bay estuarine and riparian enhancement project in WRIA 10/12, which would increase salt marsh and restore marine riparian habitat within and around Chambers Bay, improving shallow-water refuge and increasing foraging opportunity and rearing capacity for early life stages of Chinook, chum, and pink salmon; (2) Sequalitchew Creek estuary restoration; (3) John’s Creek/Bayshore estuary restoration; and (4) the Deschutes estuary restoration through removal of the 5th Avenue dam in Olympia, which will restore 346 acres of estuarine and intertidal habitat within sight of the State Capital, in the Southern reaches of Puget Sound. The Squaxin Island Tribe led the project at John’s Creek, which was completed in summer 2016; the project restored 74 acres of ecologically and culturally significant estuary, nearshore, riparian, and prairie oak habitat in the Oakland Bay watershed.</w:t>
      </w:r>
    </w:p>
    <w:p w14:paraId="372C98F7" w14:textId="77777777" w:rsidR="00B90508" w:rsidRPr="00B90508" w:rsidRDefault="00B90508" w:rsidP="00B90508">
      <w:pPr>
        <w:spacing w:line="276" w:lineRule="auto"/>
        <w:rPr>
          <w:rFonts w:eastAsiaTheme="minorEastAsia"/>
        </w:rPr>
      </w:pPr>
      <w:r w:rsidRPr="00B90508">
        <w:rPr>
          <w:rFonts w:ascii="Calibri" w:eastAsia="Calibri" w:hAnsi="Calibri" w:cs="Calibri"/>
        </w:rPr>
        <w:lastRenderedPageBreak/>
        <w:t>In addition to the estuary restoration actions listed in the 2014 Action Agenda, in recent years, estuary restoration also has been accomplished or substantially moved forward at Mission Creek on Budd Inlet, and Skookum Creek on Totten Inlet. Additional estuary restoration projects are in the active planning/development phase, including the mouth of Kennedy/Goldsborough Creek on Oakland Bay, and Whiteman Cove in Case Inlet. The Nisqually estuary has been the focus of the largest estuary restoration effort in the Pacific Northwest, with over 900 acres restored since 2002.</w:t>
      </w:r>
    </w:p>
    <w:p w14:paraId="44F503A9"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Eelgrass Beds</w:t>
      </w:r>
    </w:p>
    <w:p w14:paraId="069A52A0" w14:textId="77777777" w:rsidR="00B90508" w:rsidRPr="00B90508" w:rsidRDefault="00B90508" w:rsidP="00B90508">
      <w:pPr>
        <w:spacing w:line="276" w:lineRule="auto"/>
        <w:rPr>
          <w:rFonts w:ascii="Calibri" w:eastAsia="Calibri" w:hAnsi="Calibri" w:cs="Calibri"/>
        </w:rPr>
      </w:pPr>
      <w:bookmarkStart w:id="260" w:name="_abs71bivusrt" w:colFirst="0" w:colLast="0"/>
      <w:bookmarkStart w:id="261" w:name="_qekemv1p286" w:colFirst="0" w:colLast="0"/>
      <w:bookmarkEnd w:id="260"/>
      <w:bookmarkEnd w:id="261"/>
      <w:r w:rsidRPr="00B90508">
        <w:rPr>
          <w:rFonts w:ascii="Calibri" w:eastAsia="Calibri" w:hAnsi="Calibri" w:cs="Calibri"/>
        </w:rPr>
        <w:t>Eelgrass occurs in shallow sediments and is widely recognized for its provision of important ecological functions in sustaining diverse nearshore food webs and creating structurally complex habitat for a suite of species including herring, crab, shrimp, shellfish, waterfowl, and salmonids. Annual monitoring by Washington Department of Natural Resources (WNDR) has documented that eelgrass is more abundant in north Puget Sound. This is due to a variety of factors including appropriate substrate availability, water clarity, wave energy, light attenuation, water temperature, tidal amplitude, and desiccation stress. Where historically or currently present, eelgrass is critically important for maintaining nearshore ecosystem function.</w:t>
      </w:r>
    </w:p>
    <w:p w14:paraId="69606AA3"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A little over 60 miles of shoreline, or 15% of the total shoreline (450 miles) supports patchy or continuous eelgrass beds. Beds only occur in the north and eastern portion of the South Sound and not in the finger inlets or islands of the southern end. The intertidal areas around Anderson, McNeil, and Fox Islands contain patchy eelgrass beds as annually surveyed by WDNR. In addition, the shoreline adjacent to Steilacoom and University Place supports patchy eelgrass beds as does portions of Carr and Case Inlets. Very little (~6 miles) continuous eelgrass bed has been documented in the South Sound.</w:t>
      </w:r>
    </w:p>
    <w:p w14:paraId="32E7D6FE" w14:textId="77777777" w:rsidR="00B90508" w:rsidRPr="00B90508" w:rsidRDefault="00B90508" w:rsidP="00B90508">
      <w:pPr>
        <w:spacing w:after="0" w:line="240" w:lineRule="auto"/>
        <w:jc w:val="center"/>
        <w:rPr>
          <w:rFonts w:ascii="Calibri" w:eastAsia="Times New Roman" w:hAnsi="Calibri" w:cs="Times New Roman"/>
          <w:color w:val="000000"/>
        </w:rPr>
      </w:pPr>
      <w:r w:rsidRPr="00B90508">
        <w:rPr>
          <w:rFonts w:ascii="Calibri" w:eastAsia="Times New Roman" w:hAnsi="Calibri" w:cs="Times New Roman"/>
          <w:noProof/>
          <w:color w:val="000000"/>
        </w:rPr>
        <w:lastRenderedPageBreak/>
        <w:drawing>
          <wp:inline distT="0" distB="0" distL="0" distR="0" wp14:anchorId="047A2F60" wp14:editId="5E78382F">
            <wp:extent cx="5943600" cy="4692015"/>
            <wp:effectExtent l="19050" t="19050" r="19050" b="13335"/>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_Eelgrass_MAIN.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5943600" cy="4692015"/>
                    </a:xfrm>
                    <a:prstGeom prst="rect">
                      <a:avLst/>
                    </a:prstGeom>
                    <a:ln w="3175">
                      <a:solidFill>
                        <a:sysClr val="windowText" lastClr="000000"/>
                      </a:solidFill>
                    </a:ln>
                  </pic:spPr>
                </pic:pic>
              </a:graphicData>
            </a:graphic>
          </wp:inline>
        </w:drawing>
      </w:r>
    </w:p>
    <w:p w14:paraId="032F97B5"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Eelgrass Beds – Existing Conditions (Washington Department of Natural Resources)</w:t>
      </w:r>
    </w:p>
    <w:p w14:paraId="53DBAE87" w14:textId="77777777" w:rsidR="00B90508" w:rsidRPr="00B90508" w:rsidRDefault="00B90508" w:rsidP="00B90508">
      <w:pPr>
        <w:keepNext/>
        <w:spacing w:before="100" w:after="100" w:line="276" w:lineRule="auto"/>
        <w:jc w:val="center"/>
        <w:rPr>
          <w:rFonts w:ascii="Calibri" w:eastAsia="Calibri" w:hAnsi="Calibri" w:cs="Calibri"/>
          <w:b/>
          <w:sz w:val="18"/>
        </w:rPr>
      </w:pPr>
      <w:bookmarkStart w:id="262" w:name="_2urcua8fk5sg" w:colFirst="0" w:colLast="0"/>
      <w:bookmarkEnd w:id="262"/>
      <w:r w:rsidRPr="00B90508">
        <w:rPr>
          <w:rFonts w:ascii="Calibri" w:eastAsia="Calibri" w:hAnsi="Calibri" w:cs="Calibri"/>
          <w:b/>
          <w:sz w:val="18"/>
        </w:rPr>
        <w:t>Table []</w:t>
      </w:r>
    </w:p>
    <w:p w14:paraId="2DC35E98" w14:textId="77777777" w:rsidR="00B90508" w:rsidRPr="00B90508" w:rsidRDefault="00B90508" w:rsidP="00B90508">
      <w:pPr>
        <w:spacing w:line="276" w:lineRule="auto"/>
        <w:jc w:val="center"/>
        <w:rPr>
          <w:rFonts w:ascii="Calibri" w:eastAsia="Calibri" w:hAnsi="Calibri" w:cs="Calibri"/>
        </w:rPr>
      </w:pPr>
      <w:r w:rsidRPr="00B90508">
        <w:rPr>
          <w:rFonts w:eastAsiaTheme="minorEastAsia"/>
          <w:noProof/>
        </w:rPr>
        <w:drawing>
          <wp:inline distT="0" distB="0" distL="0" distR="0" wp14:anchorId="451059C3" wp14:editId="1F505CE4">
            <wp:extent cx="5943600" cy="1825896"/>
            <wp:effectExtent l="19050" t="19050" r="19050" b="22225"/>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3600" cy="1825896"/>
                    </a:xfrm>
                    <a:prstGeom prst="rect">
                      <a:avLst/>
                    </a:prstGeom>
                    <a:noFill/>
                    <a:ln w="3175">
                      <a:solidFill>
                        <a:sysClr val="windowText" lastClr="000000"/>
                      </a:solidFill>
                    </a:ln>
                  </pic:spPr>
                </pic:pic>
              </a:graphicData>
            </a:graphic>
          </wp:inline>
        </w:drawing>
      </w:r>
    </w:p>
    <w:p w14:paraId="3B10A6C4" w14:textId="77777777" w:rsidR="00B90508" w:rsidRPr="00B90508" w:rsidRDefault="00B90508" w:rsidP="00B90508">
      <w:pPr>
        <w:spacing w:line="276" w:lineRule="auto"/>
        <w:rPr>
          <w:rFonts w:eastAsiaTheme="minorEastAsia"/>
        </w:rPr>
      </w:pPr>
      <w:r w:rsidRPr="00B90508">
        <w:rPr>
          <w:rFonts w:eastAsia="Calibri"/>
        </w:rPr>
        <w:t xml:space="preserve">At this time, the Alliance is not proposing a local target for eelgrass beds. Protection of existing eelgrass beds should largely be accomplished by progress on other marine nearshore and freshwater quality attributes that protect and restore natural sediment dynamics and reduce overwater structures. The </w:t>
      </w:r>
      <w:r w:rsidRPr="00B90508">
        <w:rPr>
          <w:rFonts w:eastAsia="Calibri"/>
        </w:rPr>
        <w:lastRenderedPageBreak/>
        <w:t xml:space="preserve">Puget Sound Partnership has a recovery target for eelgrass beds, and the Alliance will monitor progress against that target for any insight it can offer into trends in South Sound. </w:t>
      </w:r>
    </w:p>
    <w:p w14:paraId="08DA73DD"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263" w:name="_d1kq7unzgnbd" w:colFirst="0" w:colLast="0"/>
      <w:bookmarkEnd w:id="263"/>
      <w:r w:rsidRPr="00B90508">
        <w:rPr>
          <w:rFonts w:eastAsiaTheme="majorEastAsia" w:cstheme="minorHAnsi"/>
          <w:b/>
          <w:color w:val="595959" w:themeColor="text1" w:themeTint="A6"/>
          <w:sz w:val="24"/>
          <w:szCs w:val="28"/>
        </w:rPr>
        <w:t>Herring Abundance and Distribution</w:t>
      </w:r>
    </w:p>
    <w:p w14:paraId="3F9BA3C7" w14:textId="77777777" w:rsidR="00B90508" w:rsidRPr="00B90508" w:rsidRDefault="00B90508" w:rsidP="00B90508">
      <w:pPr>
        <w:spacing w:line="276" w:lineRule="auto"/>
        <w:rPr>
          <w:rFonts w:ascii="Calibri" w:eastAsia="Calibri" w:hAnsi="Calibri" w:cs="Calibri"/>
        </w:rPr>
      </w:pPr>
      <w:bookmarkStart w:id="264" w:name="_h1obarjkviam" w:colFirst="0" w:colLast="0"/>
      <w:bookmarkEnd w:id="264"/>
      <w:r w:rsidRPr="00B90508">
        <w:rPr>
          <w:rFonts w:ascii="Calibri" w:eastAsia="Calibri" w:hAnsi="Calibri" w:cs="Calibri"/>
        </w:rPr>
        <w:t xml:space="preserve">Herring have an important and unique intermediary role in the food web as an essential source of food for larger fish (including salmon), seabirds, and marine mammals. They are divided into three unique genetic groupings in the Puget Sound: Cherry Point, Squaxin Pass, and all other stocks. The Squaxin Pass stock has documented spawning and holding grounds in South Puget Sound occurring mostly in Carr Inlet and north of McNeil Island, the north side of Fox Island, and south of the Key Peninsula (shown as pink polygons on Figure []). </w:t>
      </w:r>
    </w:p>
    <w:p w14:paraId="50E6CF80" w14:textId="77777777" w:rsidR="00B90508" w:rsidRPr="00B90508" w:rsidRDefault="00B90508" w:rsidP="00B90508">
      <w:pPr>
        <w:spacing w:after="0" w:line="276" w:lineRule="auto"/>
        <w:jc w:val="center"/>
        <w:rPr>
          <w:rFonts w:ascii="Calibri" w:eastAsia="Calibri" w:hAnsi="Calibri" w:cs="Calibri"/>
        </w:rPr>
      </w:pPr>
      <w:r w:rsidRPr="00B90508">
        <w:rPr>
          <w:rFonts w:ascii="Calibri" w:eastAsia="Calibri" w:hAnsi="Calibri" w:cs="Calibri"/>
          <w:noProof/>
        </w:rPr>
        <w:drawing>
          <wp:inline distT="0" distB="0" distL="0" distR="0" wp14:anchorId="69086281" wp14:editId="01B7DA3D">
            <wp:extent cx="5943600" cy="4707890"/>
            <wp:effectExtent l="19050" t="19050" r="19050" b="1651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ForageFish_SpawningHabitat.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4707890"/>
                    </a:xfrm>
                    <a:prstGeom prst="rect">
                      <a:avLst/>
                    </a:prstGeom>
                    <a:ln w="3175">
                      <a:solidFill>
                        <a:sysClr val="windowText" lastClr="000000"/>
                      </a:solidFill>
                    </a:ln>
                  </pic:spPr>
                </pic:pic>
              </a:graphicData>
            </a:graphic>
          </wp:inline>
        </w:drawing>
      </w:r>
    </w:p>
    <w:p w14:paraId="41B342E8"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Herring Spawning and Holding Areas – Existing Conditions (Washington Department of Fish and Wildlife)</w:t>
      </w:r>
    </w:p>
    <w:p w14:paraId="151A9D38"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 xml:space="preserve">WDFW has tracked the spawning biomass of the Squaxin Pass herring population annually since 1973. In 2015, the biomass was 324 tons. The average amount over the period of record is 710 tons, with the highest year recorded as 2002 (3,150 tons) and the lowest year in 1997 (20 tons). </w:t>
      </w:r>
    </w:p>
    <w:p w14:paraId="390E2624" w14:textId="77777777" w:rsidR="00B90508" w:rsidRPr="00B90508" w:rsidRDefault="00B90508" w:rsidP="00B90508">
      <w:pPr>
        <w:spacing w:after="0" w:line="276" w:lineRule="auto"/>
        <w:jc w:val="center"/>
        <w:rPr>
          <w:rFonts w:ascii="Calibri" w:eastAsia="Calibri" w:hAnsi="Calibri" w:cs="Calibri"/>
        </w:rPr>
      </w:pPr>
      <w:r w:rsidRPr="00B90508">
        <w:rPr>
          <w:rFonts w:ascii="Calibri" w:eastAsia="Calibri" w:hAnsi="Calibri" w:cs="Calibri"/>
          <w:noProof/>
        </w:rPr>
        <w:lastRenderedPageBreak/>
        <w:drawing>
          <wp:inline distT="0" distB="0" distL="0" distR="0" wp14:anchorId="053C14CE" wp14:editId="6CF6D09E">
            <wp:extent cx="3880757" cy="3136926"/>
            <wp:effectExtent l="0" t="0" r="5715" b="635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3878874" cy="3135404"/>
                    </a:xfrm>
                    <a:prstGeom prst="rect">
                      <a:avLst/>
                    </a:prstGeom>
                    <a:noFill/>
                  </pic:spPr>
                </pic:pic>
              </a:graphicData>
            </a:graphic>
          </wp:inline>
        </w:drawing>
      </w:r>
    </w:p>
    <w:p w14:paraId="6EDA00C7"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w:t>
      </w:r>
    </w:p>
    <w:p w14:paraId="3C5CB9FF"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As shown in the table below, Hammersley Inlet &amp; Oakland Bay Inlet/Island Group has the most herring spawning area (11%) while Carr Inlet and the Harstine Island and McNeil Inlet/Island Groups have the greatest amount of herring holding areas. Several Inlet/Island Groups do not contain herring spawning or holding areas including Budd Inlet, Case Inlet, and Henderson Inlet.</w:t>
      </w:r>
    </w:p>
    <w:p w14:paraId="4C582E19"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t>Table []</w:t>
      </w:r>
    </w:p>
    <w:p w14:paraId="6DED5357" w14:textId="77777777" w:rsidR="00B90508" w:rsidRPr="00B90508" w:rsidRDefault="00B90508" w:rsidP="00B90508">
      <w:pPr>
        <w:spacing w:after="240" w:line="276" w:lineRule="auto"/>
        <w:jc w:val="center"/>
        <w:rPr>
          <w:rFonts w:ascii="Calibri" w:eastAsia="Calibri" w:hAnsi="Calibri" w:cs="Calibri"/>
          <w:highlight w:val="yellow"/>
        </w:rPr>
      </w:pPr>
      <w:r w:rsidRPr="00B90508">
        <w:rPr>
          <w:rFonts w:eastAsiaTheme="minorEastAsia"/>
          <w:noProof/>
        </w:rPr>
        <w:drawing>
          <wp:inline distT="0" distB="0" distL="0" distR="0" wp14:anchorId="53AE2D8E" wp14:editId="5C168E5B">
            <wp:extent cx="5943600" cy="1507005"/>
            <wp:effectExtent l="19050" t="19050" r="19050" b="17145"/>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3600" cy="1507005"/>
                    </a:xfrm>
                    <a:prstGeom prst="rect">
                      <a:avLst/>
                    </a:prstGeom>
                    <a:noFill/>
                    <a:ln w="3175">
                      <a:solidFill>
                        <a:sysClr val="windowText" lastClr="000000"/>
                      </a:solidFill>
                    </a:ln>
                  </pic:spPr>
                </pic:pic>
              </a:graphicData>
            </a:graphic>
          </wp:inline>
        </w:drawing>
      </w:r>
    </w:p>
    <w:p w14:paraId="44A31DC7" w14:textId="77777777" w:rsidR="00B90508" w:rsidRPr="00B90508" w:rsidRDefault="00B90508" w:rsidP="00B90508">
      <w:pPr>
        <w:spacing w:line="276" w:lineRule="auto"/>
        <w:rPr>
          <w:rFonts w:eastAsiaTheme="minorEastAsia"/>
        </w:rPr>
      </w:pPr>
      <w:r w:rsidRPr="00B90508">
        <w:rPr>
          <w:rFonts w:ascii="Calibri" w:eastAsia="Calibri" w:hAnsi="Calibri" w:cs="Calibri"/>
        </w:rPr>
        <w:t xml:space="preserve">At this time, the Alliance is not proposing a local target for herring. </w:t>
      </w:r>
    </w:p>
    <w:p w14:paraId="40BA27CC"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265" w:name="_4xpupqwpmoed" w:colFirst="0" w:colLast="0"/>
      <w:bookmarkStart w:id="266" w:name="_q165nqjcu6v1" w:colFirst="0" w:colLast="0"/>
      <w:bookmarkEnd w:id="265"/>
      <w:bookmarkEnd w:id="266"/>
      <w:r w:rsidRPr="00B90508">
        <w:rPr>
          <w:rFonts w:eastAsiaTheme="majorEastAsia" w:cstheme="minorHAnsi"/>
          <w:b/>
          <w:color w:val="595959" w:themeColor="text1" w:themeTint="A6"/>
          <w:sz w:val="24"/>
          <w:szCs w:val="28"/>
        </w:rPr>
        <w:t>Intact Feeder Bluffs (Sediment Supply) &amp; Shoreline Armoring</w:t>
      </w:r>
    </w:p>
    <w:p w14:paraId="4095820B" w14:textId="77777777" w:rsidR="00B90508" w:rsidRPr="00B90508" w:rsidRDefault="00B90508" w:rsidP="00B90508">
      <w:pPr>
        <w:spacing w:line="276" w:lineRule="auto"/>
        <w:rPr>
          <w:rFonts w:ascii="Calibri" w:eastAsia="Calibri" w:hAnsi="Calibri" w:cs="Calibri"/>
        </w:rPr>
      </w:pPr>
      <w:bookmarkStart w:id="267" w:name="_d1gvfxhtgfim" w:colFirst="0" w:colLast="0"/>
      <w:bookmarkEnd w:id="267"/>
      <w:r w:rsidRPr="00B90508">
        <w:rPr>
          <w:rFonts w:ascii="Calibri" w:eastAsia="Calibri" w:hAnsi="Calibri" w:cs="Calibri"/>
        </w:rPr>
        <w:t xml:space="preserve">Littoral drift cells are units of the shorelines made up of feeder bluffs, which supply the sand and gravel; a transport zone in which the material moves in one direction along the beach; and areas of deposition, such as sand spits. Drift cell length is highly variable. In the South Sound the longest drift cell is nearly 10 miles in length and located within the McNeil Island Group and the smallest is only 10 feet long and located within Totten &amp; Little Skookum Inlets. </w:t>
      </w:r>
    </w:p>
    <w:p w14:paraId="42AABE08" w14:textId="77777777" w:rsidR="00B90508" w:rsidRPr="00B90508" w:rsidRDefault="00B90508" w:rsidP="00B90508">
      <w:pPr>
        <w:spacing w:line="276" w:lineRule="auto"/>
        <w:rPr>
          <w:rFonts w:eastAsiaTheme="minorEastAsia"/>
        </w:rPr>
      </w:pPr>
      <w:r w:rsidRPr="00B90508">
        <w:rPr>
          <w:rFonts w:ascii="Calibri" w:eastAsia="Calibri" w:hAnsi="Calibri" w:cs="Calibri"/>
        </w:rPr>
        <w:lastRenderedPageBreak/>
        <w:t>Intact drift cells are those that do not have barriers to sediment supply and transport, such as armoring or nearshore fill. Protection of intact drift cells and restoration of sediment supply processes by removing armoring and nearshore fill is important for beach maintenance, which in turn is important for forage fish spawning, including surf smelt and sand lance, which lay their eggs on the upper intertidal beach.</w:t>
      </w:r>
    </w:p>
    <w:p w14:paraId="2B49112C" w14:textId="77777777" w:rsidR="00B90508" w:rsidRPr="00B90508" w:rsidRDefault="00B90508" w:rsidP="00B90508">
      <w:pPr>
        <w:spacing w:line="276" w:lineRule="auto"/>
        <w:rPr>
          <w:rFonts w:ascii="Calibri" w:eastAsia="Calibri" w:hAnsi="Calibri" w:cs="Calibri"/>
        </w:rPr>
      </w:pPr>
      <w:bookmarkStart w:id="268" w:name="_s5oip5fdvyzm" w:colFirst="0" w:colLast="0"/>
      <w:bookmarkEnd w:id="268"/>
      <w:r w:rsidRPr="00B90508">
        <w:rPr>
          <w:rFonts w:ascii="Calibri" w:eastAsia="Calibri" w:hAnsi="Calibri" w:cs="Calibri"/>
        </w:rPr>
        <w:t>There are 494 individual drift cells in the South Sound. Of these, 297 contain either historic or current feeder bluffs (or both) that once provided or still provide sediment supply to shoreline beaches and nearshore habitats. The amount of shoreline, number of drift cells, and functioning feeder bluff for each Inlet/Island Group is provided in the following table. It should be noted that the percent intact feeder bluff provided for each inlet/island group is a conservative estimate based on the data sources available.</w:t>
      </w:r>
    </w:p>
    <w:p w14:paraId="2D249DC7"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t>Table []</w:t>
      </w:r>
    </w:p>
    <w:p w14:paraId="70C59822" w14:textId="77777777" w:rsidR="00B90508" w:rsidRPr="00B90508" w:rsidRDefault="00B90508" w:rsidP="00B90508">
      <w:pPr>
        <w:spacing w:after="360" w:line="276" w:lineRule="auto"/>
        <w:jc w:val="center"/>
        <w:rPr>
          <w:rFonts w:ascii="Calibri" w:eastAsia="Calibri" w:hAnsi="Calibri" w:cs="Calibri"/>
        </w:rPr>
      </w:pPr>
      <w:r w:rsidRPr="00B90508">
        <w:rPr>
          <w:rFonts w:eastAsiaTheme="minorEastAsia"/>
          <w:noProof/>
        </w:rPr>
        <w:drawing>
          <wp:inline distT="0" distB="0" distL="0" distR="0" wp14:anchorId="686016DE" wp14:editId="495A2C5F">
            <wp:extent cx="5943600" cy="2191703"/>
            <wp:effectExtent l="19050" t="19050" r="19050" b="18415"/>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43600" cy="2191703"/>
                    </a:xfrm>
                    <a:prstGeom prst="rect">
                      <a:avLst/>
                    </a:prstGeom>
                    <a:noFill/>
                    <a:ln w="3175">
                      <a:solidFill>
                        <a:sysClr val="windowText" lastClr="000000"/>
                      </a:solidFill>
                    </a:ln>
                  </pic:spPr>
                </pic:pic>
              </a:graphicData>
            </a:graphic>
          </wp:inline>
        </w:drawing>
      </w:r>
    </w:p>
    <w:p w14:paraId="676A3D12"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Intact feeder bluffs occur where shoreline development has been less intense, such as Harstine, McNeil, and Anderson Islands, and there is less shoreline armoring. Areas of higher density population and development have markedly reduced sediment supply from feeder bluffs, such as Carr and Case Inlets. Figure [] shows feeder bluffs in five categories of intactness.</w:t>
      </w:r>
    </w:p>
    <w:p w14:paraId="71B5CAF4" w14:textId="77777777" w:rsidR="00B90508" w:rsidRPr="00B90508" w:rsidRDefault="00B90508" w:rsidP="00B90508">
      <w:pPr>
        <w:spacing w:after="0" w:line="276" w:lineRule="auto"/>
        <w:jc w:val="center"/>
        <w:rPr>
          <w:rFonts w:ascii="Calibri" w:eastAsia="Calibri" w:hAnsi="Calibri" w:cs="Calibri"/>
          <w:highlight w:val="yellow"/>
        </w:rPr>
      </w:pPr>
      <w:r w:rsidRPr="00B90508">
        <w:rPr>
          <w:rFonts w:ascii="Calibri" w:eastAsia="Calibri" w:hAnsi="Calibri" w:cs="Calibri"/>
          <w:noProof/>
        </w:rPr>
        <w:lastRenderedPageBreak/>
        <w:drawing>
          <wp:inline distT="0" distB="0" distL="0" distR="0" wp14:anchorId="23651DAB" wp14:editId="792FE4D6">
            <wp:extent cx="5943600" cy="4660265"/>
            <wp:effectExtent l="19050" t="19050" r="19050" b="2603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FeederBluffs_ExistingConditions.jpg"/>
                    <pic:cNvPicPr/>
                  </pic:nvPicPr>
                  <pic:blipFill>
                    <a:blip r:embed="rId120" cstate="print">
                      <a:extLst>
                        <a:ext uri="{28A0092B-C50C-407E-A947-70E740481C1C}">
                          <a14:useLocalDpi xmlns:a14="http://schemas.microsoft.com/office/drawing/2010/main" val="0"/>
                        </a:ext>
                      </a:extLst>
                    </a:blip>
                    <a:stretch>
                      <a:fillRect/>
                    </a:stretch>
                  </pic:blipFill>
                  <pic:spPr>
                    <a:xfrm>
                      <a:off x="0" y="0"/>
                      <a:ext cx="5943600" cy="4660265"/>
                    </a:xfrm>
                    <a:prstGeom prst="rect">
                      <a:avLst/>
                    </a:prstGeom>
                    <a:ln w="3175">
                      <a:solidFill>
                        <a:sysClr val="windowText" lastClr="000000"/>
                      </a:solidFill>
                    </a:ln>
                  </pic:spPr>
                </pic:pic>
              </a:graphicData>
            </a:graphic>
          </wp:inline>
        </w:drawing>
      </w:r>
    </w:p>
    <w:p w14:paraId="6637F6AA"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Feeder Bluffs – Existing Conditions (Washington Department of Ecology)</w:t>
      </w:r>
    </w:p>
    <w:p w14:paraId="0BFEB3B3" w14:textId="77777777" w:rsidR="00B90508" w:rsidRPr="00B90508" w:rsidRDefault="00B90508" w:rsidP="00B90508">
      <w:pPr>
        <w:spacing w:line="276" w:lineRule="auto"/>
        <w:rPr>
          <w:rFonts w:ascii="Calibri" w:eastAsia="Times New Roman" w:hAnsi="Calibri" w:cs="Times New Roman"/>
        </w:rPr>
      </w:pPr>
      <w:bookmarkStart w:id="269" w:name="_569op4ptjbh3" w:colFirst="0" w:colLast="0"/>
      <w:bookmarkEnd w:id="269"/>
      <w:r w:rsidRPr="00B90508">
        <w:rPr>
          <w:rFonts w:ascii="Calibri" w:eastAsia="Times New Roman" w:hAnsi="Calibri" w:cs="Times New Roman"/>
          <w:color w:val="000000"/>
        </w:rPr>
        <w:t xml:space="preserve">The status of drift cells is directly related to the amount of shoreline armoring present in South Sound. Shoreline armoring directly alters geologic processes that build and maintain beaches and spits by blocking sediment supply. Bulkheads also impact erosion patterns on nearby beaches, alter beach substrate and hydrology, and reduce the availability of large wood. These physical changes to beaches can diminish the availability and condition of habitat and can also directly impact plants and animals. Feeder bluffs that are blocked by shoreline armoring result in impaired sediment supply and transport processes and an impaired drift cell. </w:t>
      </w:r>
      <w:r w:rsidRPr="00B90508">
        <w:rPr>
          <w:rFonts w:ascii="Calibri" w:eastAsia="Times New Roman" w:hAnsi="Calibri" w:cs="Times New Roman"/>
        </w:rPr>
        <w:t xml:space="preserve">Of the 400 miles of shoreline in the South Sound, approximately 120 contain some type of armoring such as bulkheads or riprap (approximately 30% of the total shoreline). As shown in the table below, </w:t>
      </w:r>
      <w:r w:rsidRPr="00B90508" w:rsidDel="00F73C8B">
        <w:rPr>
          <w:rFonts w:ascii="Calibri" w:eastAsia="Times New Roman" w:hAnsi="Calibri" w:cs="Times New Roman"/>
        </w:rPr>
        <w:t xml:space="preserve">Budd, Carr, and Case Inlets have the most shoreline armoring at 53%, 48%, and 43% respectively, relating directly to them also having the most markedly reduced sediment supply from feeder bluffs, as discussed above. </w:t>
      </w:r>
    </w:p>
    <w:p w14:paraId="454088A2"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lastRenderedPageBreak/>
        <w:t>Table []</w:t>
      </w:r>
    </w:p>
    <w:p w14:paraId="57C687F1" w14:textId="77777777" w:rsidR="00B90508" w:rsidRPr="00B90508" w:rsidRDefault="00B90508" w:rsidP="00B90508">
      <w:pPr>
        <w:spacing w:line="276" w:lineRule="auto"/>
        <w:rPr>
          <w:rFonts w:ascii="Calibri" w:eastAsia="Times New Roman" w:hAnsi="Calibri" w:cs="Times New Roman"/>
        </w:rPr>
      </w:pPr>
      <w:r w:rsidRPr="00B90508">
        <w:rPr>
          <w:rFonts w:eastAsiaTheme="minorEastAsia"/>
          <w:noProof/>
        </w:rPr>
        <w:drawing>
          <wp:inline distT="0" distB="0" distL="0" distR="0" wp14:anchorId="3D6ADD07" wp14:editId="47AE35FA">
            <wp:extent cx="5943600" cy="1646336"/>
            <wp:effectExtent l="19050" t="19050" r="19050" b="1143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3600" cy="1646336"/>
                    </a:xfrm>
                    <a:prstGeom prst="rect">
                      <a:avLst/>
                    </a:prstGeom>
                    <a:noFill/>
                    <a:ln w="3175">
                      <a:solidFill>
                        <a:sysClr val="windowText" lastClr="000000"/>
                      </a:solidFill>
                    </a:ln>
                  </pic:spPr>
                </pic:pic>
              </a:graphicData>
            </a:graphic>
          </wp:inline>
        </w:drawing>
      </w:r>
    </w:p>
    <w:p w14:paraId="765A0143" w14:textId="77777777" w:rsidR="00B90508" w:rsidRPr="00B90508" w:rsidRDefault="00B90508" w:rsidP="00B90508">
      <w:pPr>
        <w:spacing w:line="276" w:lineRule="auto"/>
        <w:jc w:val="center"/>
        <w:rPr>
          <w:rFonts w:ascii="Calibri" w:eastAsia="Times New Roman" w:hAnsi="Calibri" w:cs="Times New Roman"/>
        </w:rPr>
      </w:pPr>
    </w:p>
    <w:p w14:paraId="75EF69F0" w14:textId="77777777" w:rsidR="00B90508" w:rsidRPr="00B90508" w:rsidRDefault="00B90508" w:rsidP="00B90508">
      <w:pPr>
        <w:spacing w:after="0" w:line="276" w:lineRule="auto"/>
        <w:rPr>
          <w:rFonts w:ascii="Calibri" w:eastAsia="Times New Roman" w:hAnsi="Calibri" w:cs="Times New Roman"/>
          <w:highlight w:val="yellow"/>
        </w:rPr>
      </w:pPr>
      <w:r w:rsidRPr="00B90508">
        <w:rPr>
          <w:rFonts w:ascii="Calibri" w:eastAsia="Times New Roman" w:hAnsi="Calibri" w:cs="Times New Roman"/>
          <w:noProof/>
        </w:rPr>
        <w:drawing>
          <wp:inline distT="0" distB="0" distL="0" distR="0" wp14:anchorId="015988E6" wp14:editId="62E58132">
            <wp:extent cx="5943600" cy="4661535"/>
            <wp:effectExtent l="0" t="0" r="0" b="5715"/>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Shoreline_Mods_ExistingConditions.jpg"/>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5943600" cy="4661535"/>
                    </a:xfrm>
                    <a:prstGeom prst="rect">
                      <a:avLst/>
                    </a:prstGeom>
                  </pic:spPr>
                </pic:pic>
              </a:graphicData>
            </a:graphic>
          </wp:inline>
        </w:drawing>
      </w:r>
    </w:p>
    <w:p w14:paraId="7CC00D1A"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Shoreline Armoring (Modifications) – Existing Conditions (Squaxin Island Tribe Nearshore Assessment Tool)</w:t>
      </w:r>
    </w:p>
    <w:p w14:paraId="6EC39474" w14:textId="77777777" w:rsidR="00B90508" w:rsidRPr="00B90508" w:rsidRDefault="00B90508" w:rsidP="00B90508">
      <w:pPr>
        <w:spacing w:line="276" w:lineRule="auto"/>
        <w:rPr>
          <w:rFonts w:ascii="Calibri" w:eastAsia="Times New Roman" w:hAnsi="Calibri" w:cs="Times New Roman"/>
          <w:color w:val="000000"/>
        </w:rPr>
      </w:pPr>
      <w:r w:rsidRPr="00B90508" w:rsidDel="00F73C8B">
        <w:rPr>
          <w:rFonts w:ascii="Calibri" w:eastAsia="Times New Roman" w:hAnsi="Calibri" w:cs="Times New Roman"/>
          <w:highlight w:val="yellow"/>
        </w:rPr>
        <w:t xml:space="preserve"> </w:t>
      </w:r>
    </w:p>
    <w:p w14:paraId="602329A3" w14:textId="77777777" w:rsidR="00B90508" w:rsidRPr="00B90508" w:rsidRDefault="00B90508" w:rsidP="00B90508">
      <w:pPr>
        <w:keepNext/>
        <w:keepLines/>
        <w:spacing w:after="60" w:line="276" w:lineRule="auto"/>
        <w:outlineLvl w:val="3"/>
        <w:rPr>
          <w:rFonts w:asciiTheme="majorHAnsi" w:eastAsiaTheme="majorEastAsia" w:hAnsiTheme="majorHAnsi" w:cstheme="majorBidi"/>
          <w:color w:val="2E74B5" w:themeColor="accent1" w:themeShade="BF"/>
        </w:rPr>
      </w:pPr>
      <w:r w:rsidRPr="00B90508">
        <w:rPr>
          <w:rFonts w:asciiTheme="majorHAnsi" w:eastAsiaTheme="majorEastAsia" w:hAnsiTheme="majorHAnsi" w:cstheme="majorBidi"/>
          <w:color w:val="2E74B5" w:themeColor="accent1" w:themeShade="BF"/>
        </w:rPr>
        <w:lastRenderedPageBreak/>
        <w:t>Targets for Feeder Bluffs and Shoreline Armoring</w:t>
      </w:r>
    </w:p>
    <w:p w14:paraId="40014A07" w14:textId="77777777" w:rsidR="00B90508" w:rsidRPr="00B90508" w:rsidRDefault="00B90508" w:rsidP="00B90508">
      <w:pPr>
        <w:spacing w:line="276" w:lineRule="auto"/>
        <w:rPr>
          <w:rFonts w:eastAsiaTheme="minorEastAsia"/>
        </w:rPr>
      </w:pPr>
      <w:r w:rsidRPr="00B90508">
        <w:rPr>
          <w:rFonts w:eastAsiaTheme="minorEastAsia"/>
        </w:rPr>
        <w:t xml:space="preserve">The Alliance seeks to improve nearshore sediment supply processes in South Sound by protecting remaining intact (unarmored) shoreline and feeder bluffs and restoring significant sediment supplies and transport processes, especially in priority nearshore areas. As with other marine nearshore attributes, these are ambitious targets, particularly the shoreline armoring target which seeks to remove almost half the hard armoring in South Sound and replace it with natural processes and/or softer armoring. </w:t>
      </w:r>
    </w:p>
    <w:p w14:paraId="0C81B308" w14:textId="77777777" w:rsidR="00B90508" w:rsidRPr="00B90508" w:rsidRDefault="00B90508" w:rsidP="00B90508">
      <w:pPr>
        <w:spacing w:line="276" w:lineRule="auto"/>
        <w:rPr>
          <w:rFonts w:eastAsiaTheme="minorEastAsia"/>
        </w:rPr>
      </w:pPr>
      <w:r w:rsidRPr="00B90508">
        <w:rPr>
          <w:rFonts w:eastAsiaTheme="minorEastAsia"/>
        </w:rPr>
        <w:t>For feeder bluffs/ sediment supply the target is:</w:t>
      </w:r>
    </w:p>
    <w:p w14:paraId="66BDEE21" w14:textId="77777777" w:rsidR="00B90508" w:rsidRPr="00B90508" w:rsidRDefault="00B90508" w:rsidP="00B90508">
      <w:pPr>
        <w:spacing w:line="276" w:lineRule="auto"/>
        <w:ind w:left="720"/>
        <w:rPr>
          <w:rFonts w:eastAsiaTheme="minorEastAsia"/>
          <w:i/>
          <w:color w:val="2B5A8E"/>
        </w:rPr>
      </w:pPr>
      <w:r w:rsidRPr="00B90508">
        <w:rPr>
          <w:rFonts w:eastAsiaTheme="minorEastAsia"/>
          <w:i/>
          <w:color w:val="2B5A8E"/>
        </w:rPr>
        <w:t>(1) Protect all drift cells with &gt;80% intact feeder bluffs throughout South Sound, 92.5 miles, of which 61.7 miles are in the areas identified as a priority in the South Sound Coastal Catchment Assessment and/or the Nearshore Project Selection Tool for Juvenile Salmon.</w:t>
      </w:r>
    </w:p>
    <w:p w14:paraId="1F6558FC" w14:textId="77777777" w:rsidR="00B90508" w:rsidRPr="00B90508" w:rsidRDefault="00B90508" w:rsidP="00B90508">
      <w:pPr>
        <w:spacing w:line="276" w:lineRule="auto"/>
        <w:rPr>
          <w:rFonts w:eastAsiaTheme="minorEastAsia"/>
        </w:rPr>
      </w:pPr>
      <w:r w:rsidRPr="00B90508">
        <w:rPr>
          <w:rFonts w:eastAsiaTheme="minorEastAsia"/>
        </w:rPr>
        <w:t>Figure [] shows drift cells with &gt;80% intact feeder bluffs in the areas identified as a priority in the South Sound Coastal Catchment Assessment. Figure [] shows drift cells with &gt;80% intact feeder bluffs in areas identified as a priority for juvenile salmon. Existing intact drift cells (for protection) are shown in Figure [].</w:t>
      </w:r>
    </w:p>
    <w:p w14:paraId="0E136BBB" w14:textId="77777777" w:rsidR="00B90508" w:rsidRPr="00B90508" w:rsidRDefault="00B90508" w:rsidP="00B90508">
      <w:pPr>
        <w:keepNext/>
        <w:spacing w:after="0" w:line="240" w:lineRule="auto"/>
        <w:rPr>
          <w:rFonts w:ascii="Calibri" w:eastAsia="Times New Roman" w:hAnsi="Calibri" w:cs="Times New Roman"/>
          <w:color w:val="000000"/>
        </w:rPr>
      </w:pPr>
      <w:r w:rsidRPr="00B90508">
        <w:rPr>
          <w:rFonts w:ascii="Calibri" w:eastAsia="Times New Roman" w:hAnsi="Calibri" w:cs="Times New Roman"/>
          <w:noProof/>
          <w:color w:val="000000"/>
        </w:rPr>
        <w:drawing>
          <wp:inline distT="0" distB="0" distL="0" distR="0" wp14:anchorId="199A4A5D" wp14:editId="4F237FA4">
            <wp:extent cx="5760720" cy="4502101"/>
            <wp:effectExtent l="19050" t="19050" r="11430" b="13335"/>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FeederBluffs_Strategies.jpg"/>
                    <pic:cNvPicPr/>
                  </pic:nvPicPr>
                  <pic:blipFill>
                    <a:blip r:embed="rId123" cstate="print">
                      <a:extLst>
                        <a:ext uri="{28A0092B-C50C-407E-A947-70E740481C1C}">
                          <a14:useLocalDpi xmlns:a14="http://schemas.microsoft.com/office/drawing/2010/main" val="0"/>
                        </a:ext>
                      </a:extLst>
                    </a:blip>
                    <a:stretch>
                      <a:fillRect/>
                    </a:stretch>
                  </pic:blipFill>
                  <pic:spPr>
                    <a:xfrm>
                      <a:off x="0" y="0"/>
                      <a:ext cx="5760720" cy="4502101"/>
                    </a:xfrm>
                    <a:prstGeom prst="rect">
                      <a:avLst/>
                    </a:prstGeom>
                    <a:ln w="3175">
                      <a:solidFill>
                        <a:sysClr val="windowText" lastClr="000000"/>
                      </a:solidFill>
                    </a:ln>
                  </pic:spPr>
                </pic:pic>
              </a:graphicData>
            </a:graphic>
          </wp:inline>
        </w:drawing>
      </w:r>
    </w:p>
    <w:p w14:paraId="1A18908B" w14:textId="77777777" w:rsidR="00B90508" w:rsidRPr="00B90508" w:rsidRDefault="00B90508" w:rsidP="00B90508">
      <w:pPr>
        <w:spacing w:before="100" w:after="300" w:line="276" w:lineRule="auto"/>
        <w:jc w:val="center"/>
        <w:rPr>
          <w:rFonts w:ascii="Calibri" w:eastAsia="Calibri" w:hAnsi="Calibri" w:cs="Calibri"/>
          <w:b/>
          <w:iCs/>
          <w:sz w:val="18"/>
        </w:rPr>
      </w:pPr>
      <w:r w:rsidRPr="00B90508">
        <w:rPr>
          <w:rFonts w:ascii="Calibri" w:eastAsia="Calibri" w:hAnsi="Calibri" w:cs="Calibri"/>
          <w:b/>
          <w:sz w:val="18"/>
        </w:rPr>
        <w:t>Figure X. Feeder Bluffs – Squaxin Strategies (Coastal Catchment Assessment)</w:t>
      </w:r>
    </w:p>
    <w:p w14:paraId="3B6DF365" w14:textId="77777777" w:rsidR="00B90508" w:rsidRPr="00B90508" w:rsidRDefault="00B90508" w:rsidP="00B90508">
      <w:pPr>
        <w:spacing w:after="0" w:line="240" w:lineRule="auto"/>
        <w:rPr>
          <w:rFonts w:ascii="Calibri" w:eastAsia="Times New Roman" w:hAnsi="Calibri" w:cs="Times New Roman"/>
          <w:color w:val="000000"/>
        </w:rPr>
      </w:pPr>
    </w:p>
    <w:p w14:paraId="041F4DCD" w14:textId="77777777" w:rsidR="00B90508" w:rsidRPr="00B90508" w:rsidRDefault="00B90508" w:rsidP="00B90508">
      <w:pPr>
        <w:spacing w:after="0" w:line="240" w:lineRule="auto"/>
        <w:jc w:val="center"/>
        <w:rPr>
          <w:rFonts w:ascii="Calibri" w:eastAsia="Times New Roman" w:hAnsi="Calibri" w:cs="Times New Roman"/>
          <w:color w:val="000000"/>
        </w:rPr>
      </w:pPr>
      <w:r w:rsidRPr="00B90508">
        <w:rPr>
          <w:rFonts w:ascii="Calibri" w:eastAsia="Times New Roman" w:hAnsi="Calibri" w:cs="Times New Roman"/>
          <w:noProof/>
          <w:color w:val="000000"/>
        </w:rPr>
        <w:drawing>
          <wp:inline distT="0" distB="0" distL="0" distR="0" wp14:anchorId="1FE496B7" wp14:editId="1F769FAF">
            <wp:extent cx="5943600" cy="4658360"/>
            <wp:effectExtent l="19050" t="19050" r="19050" b="2794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_FeederBluffs_NPST.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943600" cy="4658360"/>
                    </a:xfrm>
                    <a:prstGeom prst="rect">
                      <a:avLst/>
                    </a:prstGeom>
                    <a:ln w="3175">
                      <a:solidFill>
                        <a:sysClr val="windowText" lastClr="000000"/>
                      </a:solidFill>
                    </a:ln>
                  </pic:spPr>
                </pic:pic>
              </a:graphicData>
            </a:graphic>
          </wp:inline>
        </w:drawing>
      </w:r>
    </w:p>
    <w:p w14:paraId="3FF8585C"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Figure X. Feeder Bluffs – Squaxin NPST Priority Areas (Squaxin Island Tribe Nearshore Project Selection Tool for </w:t>
      </w:r>
      <w:r w:rsidRPr="00B90508">
        <w:rPr>
          <w:rFonts w:ascii="Calibri" w:eastAsia="Calibri" w:hAnsi="Calibri" w:cs="Calibri"/>
          <w:b/>
          <w:sz w:val="18"/>
        </w:rPr>
        <w:br/>
        <w:t>Juvenile Salmon)</w:t>
      </w:r>
    </w:p>
    <w:p w14:paraId="3562A5AD" w14:textId="77777777" w:rsidR="00B90508" w:rsidRPr="00B90508" w:rsidRDefault="00B90508" w:rsidP="00B90508">
      <w:pPr>
        <w:spacing w:line="276" w:lineRule="auto"/>
        <w:rPr>
          <w:rFonts w:eastAsia="Times New Roman"/>
        </w:rPr>
      </w:pPr>
      <w:r w:rsidRPr="00B90508">
        <w:rPr>
          <w:rFonts w:eastAsia="Times New Roman"/>
        </w:rPr>
        <w:t>For shoreline armoring:</w:t>
      </w:r>
    </w:p>
    <w:p w14:paraId="247AB90A" w14:textId="77777777" w:rsidR="00B90508" w:rsidRPr="00B90508" w:rsidRDefault="00B90508" w:rsidP="00B90508">
      <w:pPr>
        <w:spacing w:line="276" w:lineRule="auto"/>
        <w:ind w:left="720"/>
        <w:rPr>
          <w:rFonts w:eastAsiaTheme="minorEastAsia"/>
          <w:i/>
          <w:iCs/>
        </w:rPr>
      </w:pPr>
      <w:r w:rsidRPr="00B90508">
        <w:rPr>
          <w:rFonts w:eastAsiaTheme="minorEastAsia"/>
          <w:i/>
          <w:iCs/>
          <w:color w:val="2B5A8E"/>
        </w:rPr>
        <w:t>(1) Protect all intact shoreline throughout South Sound, 278.6 miles, of which 193.1 miles are in the areas identified as a priority in the South Sound Coastal Catchment Assessment and/or the Nearshore Project Selection Tool for Juvenile Salmon; and (2) Restore 61.3 miles of modified shoreline in the areas identified as a priority in the South Sound Coastal Catchment Assessment and/or the Nearshore Project Selection Tool for Juvenile Salmon</w:t>
      </w:r>
      <w:r w:rsidRPr="00B90508">
        <w:rPr>
          <w:rFonts w:eastAsiaTheme="minorEastAsia"/>
          <w:i/>
          <w:iCs/>
        </w:rPr>
        <w:t>.</w:t>
      </w:r>
    </w:p>
    <w:p w14:paraId="13196A49" w14:textId="77777777" w:rsidR="00B90508" w:rsidRPr="00B90508" w:rsidRDefault="00B90508" w:rsidP="00B90508">
      <w:pPr>
        <w:spacing w:line="276" w:lineRule="auto"/>
        <w:rPr>
          <w:rFonts w:eastAsiaTheme="minorEastAsia"/>
        </w:rPr>
      </w:pPr>
      <w:r w:rsidRPr="00B90508">
        <w:rPr>
          <w:rFonts w:eastAsiaTheme="minorEastAsia"/>
        </w:rPr>
        <w:t>Figure [] shows shoreline armoring in the areas identified as a priority in the South Sound Coastal Catchment Assessment. Figure [] shows shoreline armoring in areas identified as a priority for juvenile salmon. Existing unarmored shoreline (for protection) is shown in Figure [].</w:t>
      </w:r>
    </w:p>
    <w:p w14:paraId="510F2818" w14:textId="77777777" w:rsidR="00B90508" w:rsidRPr="00B90508" w:rsidRDefault="00B90508" w:rsidP="00B90508">
      <w:pPr>
        <w:spacing w:after="0" w:line="276" w:lineRule="auto"/>
        <w:jc w:val="center"/>
        <w:rPr>
          <w:rFonts w:eastAsiaTheme="minorEastAsia"/>
        </w:rPr>
      </w:pPr>
      <w:r w:rsidRPr="00B90508">
        <w:rPr>
          <w:rFonts w:eastAsiaTheme="minorEastAsia"/>
          <w:noProof/>
        </w:rPr>
        <w:lastRenderedPageBreak/>
        <w:drawing>
          <wp:inline distT="0" distB="0" distL="0" distR="0" wp14:anchorId="24D8AEB4" wp14:editId="27B2F6B9">
            <wp:extent cx="5943600" cy="4667250"/>
            <wp:effectExtent l="19050" t="19050" r="19050" b="1905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 Shoreline_Mods_Strategies.jp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5943600" cy="4667250"/>
                    </a:xfrm>
                    <a:prstGeom prst="rect">
                      <a:avLst/>
                    </a:prstGeom>
                    <a:ln w="3175">
                      <a:solidFill>
                        <a:sysClr val="windowText" lastClr="000000"/>
                      </a:solidFill>
                    </a:ln>
                  </pic:spPr>
                </pic:pic>
              </a:graphicData>
            </a:graphic>
          </wp:inline>
        </w:drawing>
      </w:r>
    </w:p>
    <w:p w14:paraId="4D81F5B0" w14:textId="77777777" w:rsidR="00B90508" w:rsidRPr="00B90508" w:rsidRDefault="00B90508" w:rsidP="00B90508">
      <w:pPr>
        <w:spacing w:before="100" w:after="300" w:line="276" w:lineRule="auto"/>
        <w:jc w:val="center"/>
        <w:rPr>
          <w:rFonts w:ascii="Calibri" w:eastAsia="Calibri" w:hAnsi="Calibri" w:cs="Calibri"/>
          <w:b/>
          <w:iCs/>
          <w:sz w:val="18"/>
        </w:rPr>
      </w:pPr>
      <w:r w:rsidRPr="00B90508">
        <w:rPr>
          <w:rFonts w:ascii="Calibri" w:eastAsia="Calibri" w:hAnsi="Calibri" w:cs="Calibri"/>
          <w:b/>
          <w:sz w:val="18"/>
        </w:rPr>
        <w:t>Figure X. Shoreline Armoring (Modifications) – Squaxin Strategies (Coastal Catchment Assessment)</w:t>
      </w:r>
    </w:p>
    <w:p w14:paraId="0DBB3A08" w14:textId="77777777" w:rsidR="00B90508" w:rsidRPr="00B90508" w:rsidRDefault="00B90508" w:rsidP="00B90508">
      <w:pPr>
        <w:spacing w:after="0" w:line="276" w:lineRule="auto"/>
        <w:jc w:val="center"/>
        <w:rPr>
          <w:rFonts w:eastAsiaTheme="minorEastAsia"/>
        </w:rPr>
      </w:pPr>
      <w:r w:rsidRPr="00B90508">
        <w:rPr>
          <w:rFonts w:eastAsiaTheme="minorEastAsia"/>
          <w:noProof/>
        </w:rPr>
        <w:lastRenderedPageBreak/>
        <w:drawing>
          <wp:inline distT="0" distB="0" distL="0" distR="0" wp14:anchorId="17AFEE0D" wp14:editId="534C3034">
            <wp:extent cx="5943600" cy="4666615"/>
            <wp:effectExtent l="19050" t="19050" r="19050" b="19685"/>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_Shoreline_Mods_NPST.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5943600" cy="4666615"/>
                    </a:xfrm>
                    <a:prstGeom prst="rect">
                      <a:avLst/>
                    </a:prstGeom>
                    <a:ln>
                      <a:solidFill>
                        <a:sysClr val="windowText" lastClr="000000"/>
                      </a:solidFill>
                    </a:ln>
                  </pic:spPr>
                </pic:pic>
              </a:graphicData>
            </a:graphic>
          </wp:inline>
        </w:drawing>
      </w:r>
    </w:p>
    <w:p w14:paraId="62ADF742"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Shoreline Armoring (Modifications) – Squaxin NPST Priority Areas (Squaxin Island Tribe Nearshore Project Selection Tool for Juvenile Salmon)</w:t>
      </w:r>
    </w:p>
    <w:p w14:paraId="46F37B37" w14:textId="77777777" w:rsidR="00B90508" w:rsidRPr="00B90508" w:rsidRDefault="00B90508" w:rsidP="00B90508">
      <w:pPr>
        <w:spacing w:line="276" w:lineRule="auto"/>
        <w:rPr>
          <w:rFonts w:eastAsiaTheme="minorEastAsia"/>
        </w:rPr>
      </w:pPr>
      <w:r w:rsidRPr="00B90508">
        <w:rPr>
          <w:rFonts w:eastAsiaTheme="minorEastAsia"/>
        </w:rPr>
        <w:t xml:space="preserve">While these targets are ambitious, we do not believe they are impossible. Recent projects, such as the Edgewater Beach Bulkhead Remover point to an ever increasing public understanding of the importance of sediment supply processes, and acceptance of softer armoring techniques. </w:t>
      </w:r>
    </w:p>
    <w:p w14:paraId="05CAB777"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270" w:name="_bshn5ci993wo" w:colFirst="0" w:colLast="0"/>
      <w:bookmarkEnd w:id="270"/>
      <w:r w:rsidRPr="00B90508">
        <w:rPr>
          <w:rFonts w:eastAsiaTheme="majorEastAsia" w:cstheme="minorHAnsi"/>
          <w:b/>
          <w:color w:val="595959" w:themeColor="text1" w:themeTint="A6"/>
          <w:sz w:val="24"/>
          <w:szCs w:val="28"/>
        </w:rPr>
        <w:t xml:space="preserve">Surf Smelt and Sand Lance </w:t>
      </w:r>
    </w:p>
    <w:p w14:paraId="4CECF279" w14:textId="77777777" w:rsidR="00B90508" w:rsidRPr="00B90508" w:rsidRDefault="00B90508" w:rsidP="00B90508">
      <w:pPr>
        <w:spacing w:line="276" w:lineRule="auto"/>
        <w:rPr>
          <w:rFonts w:ascii="Calibri" w:eastAsia="Calibri" w:hAnsi="Calibri" w:cs="Calibri"/>
        </w:rPr>
      </w:pPr>
      <w:bookmarkStart w:id="271" w:name="_pftmhcqj0ns7" w:colFirst="0" w:colLast="0"/>
      <w:bookmarkEnd w:id="271"/>
      <w:r w:rsidRPr="00B90508">
        <w:rPr>
          <w:rFonts w:ascii="Calibri" w:eastAsia="Calibri" w:hAnsi="Calibri" w:cs="Calibri"/>
        </w:rPr>
        <w:t>Shoreline development in the South Sound has significantly decreased the amount and quality of available habitat for forage fish that spawn on beaches. Forage fish such as sand lance and surf smelt rely on upper intertidal areas of nearshore beaches to spawn. Similar to herring, these fish play a unique and important intermediary role in the marine food web and are a critical food source for larger fish, including salmon, and marine mammals.</w:t>
      </w:r>
      <w:bookmarkStart w:id="272" w:name="_4gv8pbk6fpq" w:colFirst="0" w:colLast="0"/>
      <w:bookmarkEnd w:id="272"/>
      <w:r w:rsidRPr="00B90508">
        <w:rPr>
          <w:rFonts w:eastAsiaTheme="minorEastAsia"/>
        </w:rPr>
        <w:t xml:space="preserve"> </w:t>
      </w:r>
      <w:r w:rsidRPr="00B90508">
        <w:rPr>
          <w:rFonts w:ascii="Calibri" w:eastAsia="Calibri" w:hAnsi="Calibri" w:cs="Calibri"/>
        </w:rPr>
        <w:t>Surf smelt and sand lance spawning has been documented across the South Sound, with the greatest amount on the beaches of Harstine Island (24.6% for surf smelt and 6.2% for sand lance). Overall, surf smelt spawning areas are more abundant than sand lance with over 100 documented miles versus 15 miles, respectively.</w:t>
      </w:r>
      <w:bookmarkStart w:id="273" w:name="_k06hfsn8u11s" w:colFirst="0" w:colLast="0"/>
      <w:bookmarkStart w:id="274" w:name="_4vhpnmwonh5k" w:colFirst="0" w:colLast="0"/>
      <w:bookmarkEnd w:id="273"/>
      <w:bookmarkEnd w:id="274"/>
      <w:r w:rsidRPr="00B90508">
        <w:rPr>
          <w:rFonts w:ascii="Calibri" w:eastAsia="Calibri" w:hAnsi="Calibri" w:cs="Calibri"/>
        </w:rPr>
        <w:t xml:space="preserve"> </w:t>
      </w:r>
    </w:p>
    <w:p w14:paraId="391EE62C"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lastRenderedPageBreak/>
        <w:t>Table []</w:t>
      </w:r>
    </w:p>
    <w:p w14:paraId="7170F422" w14:textId="77777777" w:rsidR="00B90508" w:rsidRPr="00B90508" w:rsidRDefault="00B90508" w:rsidP="00B90508">
      <w:pPr>
        <w:spacing w:after="360" w:line="276" w:lineRule="auto"/>
        <w:jc w:val="center"/>
        <w:rPr>
          <w:rFonts w:ascii="Calibri" w:eastAsia="Calibri" w:hAnsi="Calibri" w:cs="Calibri"/>
        </w:rPr>
      </w:pPr>
      <w:r w:rsidRPr="00B90508">
        <w:rPr>
          <w:rFonts w:eastAsiaTheme="minorEastAsia"/>
          <w:noProof/>
        </w:rPr>
        <w:drawing>
          <wp:inline distT="0" distB="0" distL="0" distR="0" wp14:anchorId="2CE21FAC" wp14:editId="79E5C8B8">
            <wp:extent cx="5943600" cy="1794446"/>
            <wp:effectExtent l="19050" t="19050" r="19050" b="1587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3600" cy="1794446"/>
                    </a:xfrm>
                    <a:prstGeom prst="rect">
                      <a:avLst/>
                    </a:prstGeom>
                    <a:noFill/>
                    <a:ln w="3175">
                      <a:solidFill>
                        <a:sysClr val="windowText" lastClr="000000"/>
                      </a:solidFill>
                    </a:ln>
                  </pic:spPr>
                </pic:pic>
              </a:graphicData>
            </a:graphic>
          </wp:inline>
        </w:drawing>
      </w:r>
    </w:p>
    <w:p w14:paraId="1552A781"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 xml:space="preserve">Figure [] shows the location of documented sand lance and surf smelt spawning beaches. </w:t>
      </w:r>
    </w:p>
    <w:p w14:paraId="1EF0A9C0" w14:textId="77777777" w:rsidR="00B90508" w:rsidRPr="00B90508" w:rsidRDefault="00B90508" w:rsidP="00B90508">
      <w:pPr>
        <w:spacing w:after="0" w:line="276" w:lineRule="auto"/>
        <w:jc w:val="center"/>
        <w:rPr>
          <w:rFonts w:ascii="Calibri" w:eastAsia="Calibri" w:hAnsi="Calibri" w:cs="Calibri"/>
        </w:rPr>
      </w:pPr>
      <w:r w:rsidRPr="00B90508">
        <w:rPr>
          <w:rFonts w:ascii="Calibri" w:eastAsia="Calibri" w:hAnsi="Calibri" w:cs="Calibri"/>
          <w:noProof/>
        </w:rPr>
        <w:drawing>
          <wp:inline distT="0" distB="0" distL="0" distR="0" wp14:anchorId="7F5246BB" wp14:editId="127078EF">
            <wp:extent cx="5943600" cy="4707890"/>
            <wp:effectExtent l="19050" t="19050" r="19050" b="1651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 ForageFish_SpawningHabitat.jpg"/>
                    <pic:cNvPicPr/>
                  </pic:nvPicPr>
                  <pic:blipFill>
                    <a:blip r:embed="rId116" cstate="print">
                      <a:extLst>
                        <a:ext uri="{28A0092B-C50C-407E-A947-70E740481C1C}">
                          <a14:useLocalDpi xmlns:a14="http://schemas.microsoft.com/office/drawing/2010/main" val="0"/>
                        </a:ext>
                      </a:extLst>
                    </a:blip>
                    <a:stretch>
                      <a:fillRect/>
                    </a:stretch>
                  </pic:blipFill>
                  <pic:spPr>
                    <a:xfrm>
                      <a:off x="0" y="0"/>
                      <a:ext cx="5943600" cy="4707890"/>
                    </a:xfrm>
                    <a:prstGeom prst="rect">
                      <a:avLst/>
                    </a:prstGeom>
                    <a:ln w="3175">
                      <a:solidFill>
                        <a:sysClr val="windowText" lastClr="000000"/>
                      </a:solidFill>
                    </a:ln>
                  </pic:spPr>
                </pic:pic>
              </a:graphicData>
            </a:graphic>
          </wp:inline>
        </w:drawing>
      </w:r>
      <w:bookmarkStart w:id="275" w:name="_GoBack"/>
      <w:bookmarkEnd w:id="275"/>
    </w:p>
    <w:p w14:paraId="11ACF2D6"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Figure X. Documented Sand Lance and Surf Smelt Spawning Areas – Existing Conditions (Washington Department of </w:t>
      </w:r>
      <w:r w:rsidRPr="00B90508">
        <w:rPr>
          <w:rFonts w:ascii="Calibri" w:eastAsia="Calibri" w:hAnsi="Calibri" w:cs="Calibri"/>
          <w:b/>
          <w:sz w:val="18"/>
        </w:rPr>
        <w:br/>
        <w:t>Fish and Wildlife)</w:t>
      </w:r>
    </w:p>
    <w:p w14:paraId="32ECA52E" w14:textId="77777777" w:rsidR="00B90508" w:rsidRPr="00B90508" w:rsidRDefault="00B90508" w:rsidP="00B90508">
      <w:pPr>
        <w:spacing w:line="276" w:lineRule="auto"/>
        <w:rPr>
          <w:rFonts w:eastAsiaTheme="minorEastAsia"/>
        </w:rPr>
      </w:pPr>
      <w:r w:rsidRPr="00B90508">
        <w:rPr>
          <w:rFonts w:ascii="Calibri" w:eastAsia="Calibri" w:hAnsi="Calibri" w:cs="Calibri"/>
        </w:rPr>
        <w:t xml:space="preserve"> </w:t>
      </w:r>
    </w:p>
    <w:p w14:paraId="3B899A59" w14:textId="77777777" w:rsidR="00B90508" w:rsidRPr="00B90508" w:rsidRDefault="00B90508" w:rsidP="00B90508">
      <w:pPr>
        <w:spacing w:line="276" w:lineRule="auto"/>
        <w:rPr>
          <w:rFonts w:eastAsiaTheme="minorEastAsia"/>
        </w:rPr>
      </w:pPr>
      <w:r w:rsidRPr="00B90508">
        <w:rPr>
          <w:rFonts w:ascii="Calibri" w:eastAsia="Calibri" w:hAnsi="Calibri" w:cs="Calibri"/>
        </w:rPr>
        <w:lastRenderedPageBreak/>
        <w:t xml:space="preserve">At this time, the Alliance is not proposing a local target for surf smelt and sand lance. We believe that protection and restoration of beach habitat forming and sustaining process (i.e., sediment supply and transport) through reduction of shoreline armoring will improve surf smelt and sand lance abundance and distribution over time. </w:t>
      </w:r>
    </w:p>
    <w:p w14:paraId="28F30A7F"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76" w:name="_Toc463000015"/>
      <w:r w:rsidRPr="00B90508">
        <w:rPr>
          <w:rFonts w:asciiTheme="majorHAnsi" w:eastAsiaTheme="majorEastAsia" w:hAnsiTheme="majorHAnsi" w:cstheme="majorBidi"/>
          <w:color w:val="2B5A8E"/>
          <w:sz w:val="32"/>
          <w:szCs w:val="32"/>
          <w:u w:color="33CC33"/>
        </w:rPr>
        <w:t>Strategies, Existing Programs, and Actions</w:t>
      </w:r>
      <w:bookmarkEnd w:id="276"/>
    </w:p>
    <w:p w14:paraId="0EE66C87" w14:textId="77777777" w:rsidR="00B90508" w:rsidRPr="00B90508" w:rsidRDefault="00B90508" w:rsidP="00B90508">
      <w:pPr>
        <w:spacing w:line="276" w:lineRule="auto"/>
        <w:rPr>
          <w:rFonts w:eastAsiaTheme="minorEastAsia"/>
        </w:rPr>
      </w:pPr>
      <w:r w:rsidRPr="00B90508">
        <w:rPr>
          <w:rFonts w:eastAsia="Calibri"/>
        </w:rPr>
        <w:t>Strategies to address marine nearshore habitat focus on:</w:t>
      </w:r>
    </w:p>
    <w:p w14:paraId="38DE27F9" w14:textId="77777777" w:rsidR="00B90508" w:rsidRPr="00B90508" w:rsidRDefault="00B90508" w:rsidP="00B90508">
      <w:pPr>
        <w:numPr>
          <w:ilvl w:val="0"/>
          <w:numId w:val="41"/>
        </w:numPr>
        <w:spacing w:after="120" w:line="276" w:lineRule="auto"/>
        <w:contextualSpacing/>
        <w:rPr>
          <w:rFonts w:ascii="Calibri" w:eastAsia="Calibri" w:hAnsi="Calibri" w:cs="Calibri"/>
        </w:rPr>
      </w:pPr>
      <w:r w:rsidRPr="00B90508">
        <w:rPr>
          <w:rFonts w:ascii="Calibri" w:eastAsia="Calibri" w:hAnsi="Calibri" w:cs="Calibri"/>
        </w:rPr>
        <w:t>Direct protection of intact areas (e.g., through acquisition and transfer/purchase of development rights).</w:t>
      </w:r>
    </w:p>
    <w:p w14:paraId="3DB04663" w14:textId="77777777" w:rsidR="00B90508" w:rsidRPr="00B90508" w:rsidRDefault="00B90508" w:rsidP="00B90508">
      <w:pPr>
        <w:numPr>
          <w:ilvl w:val="0"/>
          <w:numId w:val="41"/>
        </w:numPr>
        <w:spacing w:after="120" w:line="276" w:lineRule="auto"/>
        <w:contextualSpacing/>
        <w:rPr>
          <w:rFonts w:ascii="Calibri" w:eastAsia="Calibri" w:hAnsi="Calibri" w:cs="Calibri"/>
        </w:rPr>
      </w:pPr>
      <w:r w:rsidRPr="00B90508">
        <w:rPr>
          <w:rFonts w:ascii="Calibri" w:eastAsia="Calibri" w:hAnsi="Calibri" w:cs="Calibri"/>
        </w:rPr>
        <w:t>Support and implementation of land management plans particularly local shoreline master programs that concentrate growth in urban growth areas and limit further shoreline alteration.</w:t>
      </w:r>
    </w:p>
    <w:p w14:paraId="2E891005" w14:textId="77777777" w:rsidR="00B90508" w:rsidRPr="00B90508" w:rsidRDefault="00B90508" w:rsidP="00B90508">
      <w:pPr>
        <w:numPr>
          <w:ilvl w:val="0"/>
          <w:numId w:val="41"/>
        </w:numPr>
        <w:spacing w:after="120" w:line="276" w:lineRule="auto"/>
        <w:contextualSpacing/>
        <w:rPr>
          <w:rFonts w:ascii="Calibri" w:eastAsia="Calibri" w:hAnsi="Calibri" w:cs="Calibri"/>
        </w:rPr>
      </w:pPr>
      <w:r w:rsidRPr="00B90508">
        <w:rPr>
          <w:rFonts w:ascii="Calibri" w:eastAsia="Calibri" w:hAnsi="Calibri" w:cs="Calibri"/>
        </w:rPr>
        <w:t xml:space="preserve">Support to </w:t>
      </w:r>
      <w:r w:rsidRPr="00B90508">
        <w:rPr>
          <w:rFonts w:eastAsiaTheme="minorEastAsia"/>
        </w:rPr>
        <w:t>landowners</w:t>
      </w:r>
      <w:r w:rsidRPr="00B90508">
        <w:rPr>
          <w:rFonts w:ascii="Calibri" w:eastAsia="Calibri" w:hAnsi="Calibri" w:cs="Calibri"/>
        </w:rPr>
        <w:t xml:space="preserve"> to help them protect and restore remaining marine riparian and other intact habitat and protect and restore sediment supplies and transfer by removing or softening shoreline armoring and overwater structures.</w:t>
      </w:r>
    </w:p>
    <w:p w14:paraId="5B38514D" w14:textId="77777777" w:rsidR="00B90508" w:rsidRPr="00B90508" w:rsidRDefault="00B90508" w:rsidP="00DB2B36">
      <w:pPr>
        <w:numPr>
          <w:ilvl w:val="0"/>
          <w:numId w:val="34"/>
        </w:numPr>
        <w:spacing w:after="120" w:line="276" w:lineRule="auto"/>
        <w:rPr>
          <w:rFonts w:ascii="Calibri" w:eastAsia="Calibri" w:hAnsi="Calibri" w:cs="Calibri"/>
        </w:rPr>
      </w:pPr>
      <w:r w:rsidRPr="00B90508">
        <w:rPr>
          <w:rFonts w:ascii="Calibri" w:eastAsia="Calibri" w:hAnsi="Calibri" w:cs="Calibri"/>
        </w:rPr>
        <w:t>Informing people a</w:t>
      </w:r>
      <w:r w:rsidRPr="00B90508">
        <w:rPr>
          <w:rFonts w:eastAsiaTheme="minorEastAsia"/>
        </w:rPr>
        <w:t xml:space="preserve">bout how nearshore processes support ecosystem functions and services (such as </w:t>
      </w:r>
      <w:r w:rsidRPr="00DB2B36">
        <w:rPr>
          <w:rFonts w:ascii="Calibri" w:eastAsia="Calibri" w:hAnsi="Calibri" w:cs="Calibri"/>
        </w:rPr>
        <w:t>abundant</w:t>
      </w:r>
      <w:r w:rsidRPr="00B90508">
        <w:rPr>
          <w:rFonts w:eastAsiaTheme="minorEastAsia"/>
        </w:rPr>
        <w:t xml:space="preserve"> salmon) that are important to people to raise support for nearshore protection and restoration efforts. </w:t>
      </w:r>
    </w:p>
    <w:p w14:paraId="1A93EDBD" w14:textId="77777777" w:rsidR="00B90508" w:rsidRPr="00B90508" w:rsidRDefault="00B90508" w:rsidP="00B90508">
      <w:pPr>
        <w:keepNext/>
        <w:keepLines/>
        <w:spacing w:after="100" w:line="240" w:lineRule="auto"/>
        <w:outlineLvl w:val="2"/>
        <w:rPr>
          <w:rFonts w:eastAsia="Calibri" w:cstheme="minorHAnsi"/>
          <w:b/>
          <w:color w:val="595959" w:themeColor="text1" w:themeTint="A6"/>
          <w:sz w:val="24"/>
          <w:szCs w:val="28"/>
        </w:rPr>
      </w:pPr>
      <w:r w:rsidRPr="00B90508">
        <w:rPr>
          <w:rFonts w:eastAsia="Calibri" w:cstheme="minorHAnsi"/>
          <w:b/>
          <w:color w:val="595959" w:themeColor="text1" w:themeTint="A6"/>
          <w:sz w:val="24"/>
          <w:szCs w:val="28"/>
        </w:rPr>
        <w:t>Shoreline Master Programs</w:t>
      </w:r>
    </w:p>
    <w:p w14:paraId="38141B51"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The key efforts to protect marine nearshore habitat flow from local jurisdictions’ shoreline master programs. These programs, which operate at the city and county level, are combined planning and regulatory documents intended to "prevent the inherent harm in an uncoordinated and piecemeal development of the state's shorelines." Shoreline master programs must contain: goals for shoreline use, economic development, economic development, public access, circulation, recreation, conservation and historical/cultural values. Goals provide the basis for, and are intended to help implement, SMP policies and regulations. They also classify shorelines into specific environment designations based on their physical, biological and development characteristics, generally “natural", "conservancy", "rural" and "urban" and specify policies and regulations are developed for each designation, reflecting the specific purpose and intent of each environment and responding to its specific conditions as well as general policies and regulations that govern shoreline use and modifications.</w:t>
      </w:r>
    </w:p>
    <w:p w14:paraId="7668B9FB"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 xml:space="preserve">All of the South Sound shoreline master programs (both county and related city-level programs) are currently undergoing revision. Updated programs will establish specific protection and restoration priorities in each Inlet Island group. </w:t>
      </w:r>
    </w:p>
    <w:p w14:paraId="2AB3BDEF" w14:textId="77777777" w:rsidR="00B90508" w:rsidRPr="00B90508" w:rsidRDefault="00B90508" w:rsidP="00B90508">
      <w:pPr>
        <w:keepNext/>
        <w:keepLines/>
        <w:spacing w:after="100" w:line="240" w:lineRule="auto"/>
        <w:outlineLvl w:val="2"/>
        <w:rPr>
          <w:rFonts w:eastAsia="Times New Roman" w:cstheme="minorHAnsi"/>
          <w:b/>
          <w:color w:val="595959" w:themeColor="text1" w:themeTint="A6"/>
          <w:sz w:val="24"/>
          <w:szCs w:val="28"/>
        </w:rPr>
      </w:pPr>
      <w:r w:rsidRPr="00B90508">
        <w:rPr>
          <w:rFonts w:eastAsia="Times New Roman" w:cstheme="minorHAnsi"/>
          <w:b/>
          <w:color w:val="595959" w:themeColor="text1" w:themeTint="A6"/>
          <w:sz w:val="24"/>
          <w:szCs w:val="28"/>
        </w:rPr>
        <w:t>Shore Friendly Programs</w:t>
      </w:r>
    </w:p>
    <w:p w14:paraId="4C8A3518"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 xml:space="preserve">The state-level Shore Friendly program offers guidance and resources to help waterfront homeowners protect their property in ways that also protect or improve ecosystem processes, and encourages alternatives to hard armoring. In the South Sound, Mason County has the most active shore friendly program and routinely offers free workshops and site evaluations for waterfront homeowners, as well as “mini grants” to support restoration planning. They are actively working to expand this program to other South Sound counties. </w:t>
      </w:r>
    </w:p>
    <w:p w14:paraId="6D23A731" w14:textId="77777777" w:rsidR="00B90508" w:rsidRPr="00B90508" w:rsidRDefault="00B90508" w:rsidP="00B90508">
      <w:pPr>
        <w:spacing w:line="276" w:lineRule="auto"/>
        <w:rPr>
          <w:rFonts w:eastAsiaTheme="minorEastAsia"/>
          <w:b/>
          <w:bCs/>
          <w:i/>
          <w:iCs/>
          <w:color w:val="2E74B5" w:themeColor="accent1" w:themeShade="BF"/>
        </w:rPr>
      </w:pPr>
      <w:r w:rsidRPr="00B90508">
        <w:rPr>
          <w:rFonts w:eastAsiaTheme="minorEastAsia"/>
          <w:b/>
          <w:bCs/>
          <w:i/>
          <w:iCs/>
          <w:color w:val="2E74B5" w:themeColor="accent1" w:themeShade="BF"/>
        </w:rPr>
        <w:lastRenderedPageBreak/>
        <w:t>[9/30 Reviewers: we need help better describing the key existing programs for marine nearshore. What else should we say about shoreline master programs and shore friendly programs? What else should we describe? Also, we’re going to need help getting up-to-date concise information on these programs to include in the strategy. We ran out of time to get this information put together for this draft and we also very much want input on what level of detail / information would be useful in this document. Thank you!]</w:t>
      </w:r>
    </w:p>
    <w:p w14:paraId="0BD1FBF7"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277" w:name="_lnlkl98l9n6b" w:colFirst="0" w:colLast="0"/>
      <w:bookmarkEnd w:id="277"/>
      <w:r w:rsidRPr="00B90508">
        <w:rPr>
          <w:rFonts w:eastAsiaTheme="majorEastAsia" w:cstheme="minorHAnsi"/>
          <w:b/>
          <w:color w:val="595959" w:themeColor="text1" w:themeTint="A6"/>
          <w:sz w:val="24"/>
          <w:szCs w:val="28"/>
        </w:rPr>
        <w:t>AHSS Near Term Actions for Marine Nearshore</w:t>
      </w:r>
    </w:p>
    <w:p w14:paraId="11BBDB45"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t xml:space="preserve">For the 2016 Action Agenda for Puget Sound, AHSS partners proposed several near term actions related to marine nearshore projects. </w:t>
      </w:r>
    </w:p>
    <w:p w14:paraId="6ED7A3CE" w14:textId="77777777" w:rsidR="00B90508" w:rsidRPr="00B90508" w:rsidRDefault="00B90508" w:rsidP="00B90508">
      <w:pPr>
        <w:numPr>
          <w:ilvl w:val="0"/>
          <w:numId w:val="48"/>
        </w:numPr>
        <w:spacing w:line="276" w:lineRule="auto"/>
        <w:contextualSpacing/>
        <w:rPr>
          <w:rFonts w:eastAsia="Calibri"/>
        </w:rPr>
      </w:pPr>
      <w:r w:rsidRPr="00B90508">
        <w:rPr>
          <w:rFonts w:eastAsia="Calibri"/>
        </w:rPr>
        <w:t xml:space="preserve">Capitol Land Trust </w:t>
      </w:r>
      <w:r w:rsidRPr="00B90508">
        <w:rPr>
          <w:rFonts w:eastAsia="Calibri"/>
          <w:b/>
        </w:rPr>
        <w:t>Henderson Inlet Habitat Protection &amp; Restoration</w:t>
      </w:r>
      <w:r w:rsidRPr="00B90508">
        <w:rPr>
          <w:rFonts w:eastAsia="Calibri"/>
        </w:rPr>
        <w:t xml:space="preserve"> would acquire 105 acres of estuary, nearshore, and riparian habitat and restore the marine shoreline of the Harmony Farms property. (Cost: $1,237,000)</w:t>
      </w:r>
    </w:p>
    <w:p w14:paraId="61B40973" w14:textId="77777777" w:rsidR="00B90508" w:rsidRPr="00B90508" w:rsidRDefault="00B90508" w:rsidP="00B90508">
      <w:pPr>
        <w:numPr>
          <w:ilvl w:val="0"/>
          <w:numId w:val="48"/>
        </w:numPr>
        <w:spacing w:line="276" w:lineRule="auto"/>
        <w:contextualSpacing/>
        <w:rPr>
          <w:rFonts w:eastAsia="Calibri"/>
        </w:rPr>
      </w:pPr>
      <w:r w:rsidRPr="00B90508">
        <w:rPr>
          <w:rFonts w:eastAsia="Calibri"/>
        </w:rPr>
        <w:t xml:space="preserve">Mason Conservation District expand </w:t>
      </w:r>
      <w:r w:rsidRPr="00B90508">
        <w:rPr>
          <w:rFonts w:eastAsia="Calibri"/>
          <w:b/>
        </w:rPr>
        <w:t>Shore Friendly Programs</w:t>
      </w:r>
      <w:r w:rsidRPr="00B90508">
        <w:rPr>
          <w:rFonts w:eastAsia="Calibri"/>
        </w:rPr>
        <w:t xml:space="preserve"> would expand these programs to other jurisdictions in South Sound. (Cost: $576,005)</w:t>
      </w:r>
    </w:p>
    <w:p w14:paraId="52DB651B" w14:textId="77777777" w:rsidR="00B90508" w:rsidRPr="00B90508" w:rsidRDefault="00B90508" w:rsidP="00B90508">
      <w:pPr>
        <w:numPr>
          <w:ilvl w:val="0"/>
          <w:numId w:val="48"/>
        </w:numPr>
        <w:spacing w:line="276" w:lineRule="auto"/>
        <w:contextualSpacing/>
        <w:rPr>
          <w:rFonts w:eastAsia="Calibri"/>
        </w:rPr>
      </w:pPr>
      <w:r w:rsidRPr="00B90508">
        <w:rPr>
          <w:rFonts w:eastAsia="Calibri"/>
        </w:rPr>
        <w:t xml:space="preserve">Squaxin Island Tribe </w:t>
      </w:r>
      <w:r w:rsidRPr="00B90508">
        <w:rPr>
          <w:rFonts w:eastAsia="Calibri"/>
          <w:b/>
        </w:rPr>
        <w:t>Deschutes River Estuary Restoration</w:t>
      </w:r>
      <w:r w:rsidRPr="00B90508">
        <w:rPr>
          <w:rFonts w:eastAsia="Calibri"/>
        </w:rPr>
        <w:t xml:space="preserve"> would complete one of the final two studies needed before restoration can begin by creating an equitable funding strategy.</w:t>
      </w:r>
    </w:p>
    <w:p w14:paraId="45C29EF7" w14:textId="77777777" w:rsidR="00B90508" w:rsidRPr="00B90508" w:rsidRDefault="00B90508" w:rsidP="00B90508">
      <w:pPr>
        <w:numPr>
          <w:ilvl w:val="0"/>
          <w:numId w:val="48"/>
        </w:numPr>
        <w:spacing w:line="276" w:lineRule="auto"/>
        <w:contextualSpacing/>
        <w:rPr>
          <w:rFonts w:eastAsia="Calibri"/>
        </w:rPr>
      </w:pPr>
      <w:r w:rsidRPr="00B90508">
        <w:rPr>
          <w:rFonts w:eastAsia="Calibri"/>
        </w:rPr>
        <w:t xml:space="preserve">South Puget Sound Salmon Enhancement Group </w:t>
      </w:r>
      <w:r w:rsidRPr="00B90508">
        <w:rPr>
          <w:rFonts w:eastAsia="Calibri"/>
          <w:b/>
        </w:rPr>
        <w:t>Titlow Estuary Restoration</w:t>
      </w:r>
      <w:r w:rsidRPr="00B90508">
        <w:rPr>
          <w:rFonts w:eastAsia="Calibri"/>
        </w:rPr>
        <w:t xml:space="preserve"> would remove shoreline armor and fill, restore fish passage and tidal hydrology, reclaim esturine and emergent wetlands, and remediate effects of stormwater form Titlow Park. (Cost: $866,000)</w:t>
      </w:r>
    </w:p>
    <w:p w14:paraId="5659419F" w14:textId="77777777" w:rsidR="00B90508" w:rsidRPr="00B90508" w:rsidRDefault="00B90508" w:rsidP="00DB2B36">
      <w:pPr>
        <w:numPr>
          <w:ilvl w:val="0"/>
          <w:numId w:val="48"/>
        </w:numPr>
        <w:spacing w:line="276" w:lineRule="auto"/>
        <w:rPr>
          <w:rFonts w:eastAsia="Calibri"/>
        </w:rPr>
      </w:pPr>
      <w:r w:rsidRPr="00B90508">
        <w:rPr>
          <w:rFonts w:eastAsia="Calibri"/>
        </w:rPr>
        <w:t xml:space="preserve">Forterra </w:t>
      </w:r>
      <w:r w:rsidRPr="00B90508">
        <w:rPr>
          <w:rFonts w:eastAsia="Calibri"/>
          <w:b/>
        </w:rPr>
        <w:t>Chambers Creek Dam Acquisition and Design</w:t>
      </w:r>
      <w:r w:rsidRPr="00B90508">
        <w:rPr>
          <w:rFonts w:eastAsia="Calibri"/>
        </w:rPr>
        <w:t xml:space="preserve"> would aquire the dam and dam site and complete a site restoration plan for multiple dam removal scenarios. (Cost: $389,000)</w:t>
      </w:r>
    </w:p>
    <w:p w14:paraId="39374D13"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78" w:name="_Toc463000016"/>
      <w:r w:rsidRPr="00B90508">
        <w:rPr>
          <w:rFonts w:asciiTheme="majorHAnsi" w:eastAsiaTheme="majorEastAsia" w:hAnsiTheme="majorHAnsi" w:cstheme="majorBidi"/>
          <w:color w:val="2B5A8E"/>
          <w:sz w:val="32"/>
          <w:szCs w:val="32"/>
          <w:u w:color="33CC33"/>
        </w:rPr>
        <w:t>Contribution to PSP Vital Signs</w:t>
      </w:r>
      <w:bookmarkEnd w:id="278"/>
    </w:p>
    <w:p w14:paraId="1994A35A" w14:textId="77777777" w:rsidR="00B90508" w:rsidRPr="00B90508" w:rsidRDefault="00B90508" w:rsidP="00B90508">
      <w:pPr>
        <w:spacing w:line="276" w:lineRule="auto"/>
        <w:rPr>
          <w:rFonts w:eastAsiaTheme="minorEastAsia"/>
        </w:rPr>
      </w:pPr>
      <w:r w:rsidRPr="00B90508">
        <w:rPr>
          <w:rFonts w:eastAsiaTheme="minorEastAsia"/>
        </w:rPr>
        <w:t xml:space="preserve">The South Sound work on marine nearshore habitat contributes to progress for multiple PSP Vital Signs including: shoreline armoring, eelgrass beds, forage fish, shellfish beds, Chinook salmon and orca. </w:t>
      </w:r>
      <w:bookmarkStart w:id="279" w:name="_5fjr0k3xbq97" w:colFirst="0" w:colLast="0"/>
      <w:bookmarkEnd w:id="279"/>
    </w:p>
    <w:p w14:paraId="764B782D" w14:textId="77777777" w:rsidR="00B90508" w:rsidRPr="00B90508" w:rsidRDefault="00B90508" w:rsidP="00B90508">
      <w:pPr>
        <w:spacing w:line="276" w:lineRule="auto"/>
        <w:rPr>
          <w:rFonts w:eastAsiaTheme="minorEastAsia"/>
        </w:rPr>
      </w:pPr>
      <w:r w:rsidRPr="00B90508">
        <w:rPr>
          <w:rFonts w:eastAsiaTheme="minorEastAsia"/>
        </w:rPr>
        <w:br w:type="page"/>
      </w:r>
    </w:p>
    <w:p w14:paraId="484E574D"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280" w:name="_Toc463000017"/>
      <w:r w:rsidRPr="00B90508">
        <w:rPr>
          <w:rFonts w:eastAsiaTheme="majorEastAsia" w:cstheme="minorHAnsi"/>
          <w:b/>
          <w:color w:val="FFFFFF" w:themeColor="background1"/>
          <w:sz w:val="36"/>
          <w:szCs w:val="36"/>
        </w:rPr>
        <w:lastRenderedPageBreak/>
        <w:t>Water Quality</w:t>
      </w:r>
      <w:bookmarkEnd w:id="280"/>
    </w:p>
    <w:p w14:paraId="0077EFAE"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81" w:name="_fpprz34edr6t" w:colFirst="0" w:colLast="0"/>
      <w:bookmarkStart w:id="282" w:name="_Toc463000018"/>
      <w:bookmarkEnd w:id="281"/>
      <w:r w:rsidRPr="00B90508">
        <w:rPr>
          <w:rFonts w:asciiTheme="majorHAnsi" w:eastAsiaTheme="majorEastAsia" w:hAnsiTheme="majorHAnsi" w:cstheme="majorBidi"/>
          <w:color w:val="2B5A8E"/>
          <w:sz w:val="32"/>
          <w:szCs w:val="32"/>
          <w:u w:color="33CC33"/>
        </w:rPr>
        <w:t>Background</w:t>
      </w:r>
      <w:bookmarkEnd w:id="282"/>
    </w:p>
    <w:p w14:paraId="14329D5C" w14:textId="77777777" w:rsidR="00B90508" w:rsidRPr="00B90508" w:rsidRDefault="00B90508" w:rsidP="00B90508">
      <w:pPr>
        <w:spacing w:line="276" w:lineRule="auto"/>
        <w:rPr>
          <w:rFonts w:eastAsiaTheme="minorEastAsia"/>
        </w:rPr>
      </w:pPr>
      <w:r w:rsidRPr="00B90508">
        <w:rPr>
          <w:rFonts w:eastAsiaTheme="minorEastAsia"/>
        </w:rPr>
        <w:t xml:space="preserve">The Alliance is interested in improving water quality in freshwater and marine systems over time. Clean freshwater is vital to people and to fish and wildlife populations. When rivers and streams pick up pollutants, toxic contaminants, or excessive sediments and nutrients, the health of watersheds, salmon habitat, and recreational opportunities are adversely affected. Similarly, the opportunity to swim, fish, or dig clams in the South Sound relies on good marine water quality. Marine waters are affected by many different factors including weather and climate, inflow from rivers and streams, stormwater runoff, and discharges from wastewater treatment plants and industries. Excess pollution can force beach closures and shellfish harvesting restrictions, and may cause excessive algae blooms that eventually deplete oxygen levels leading to fish kills. </w:t>
      </w:r>
    </w:p>
    <w:p w14:paraId="74CBA045" w14:textId="77777777" w:rsidR="00B90508" w:rsidRPr="00B90508" w:rsidRDefault="00B90508" w:rsidP="00B90508">
      <w:pPr>
        <w:spacing w:line="276" w:lineRule="auto"/>
        <w:rPr>
          <w:rFonts w:eastAsiaTheme="minorEastAsia"/>
        </w:rPr>
      </w:pPr>
      <w:r w:rsidRPr="00B90508">
        <w:rPr>
          <w:rFonts w:eastAsiaTheme="minorEastAsia"/>
        </w:rPr>
        <w:t xml:space="preserve">Key threats to water quality include: </w:t>
      </w:r>
    </w:p>
    <w:p w14:paraId="42D07835" w14:textId="77777777" w:rsidR="00B90508" w:rsidRPr="00B90508" w:rsidRDefault="00B90508" w:rsidP="00B90508">
      <w:pPr>
        <w:numPr>
          <w:ilvl w:val="0"/>
          <w:numId w:val="51"/>
        </w:numPr>
        <w:spacing w:line="276" w:lineRule="auto"/>
        <w:contextualSpacing/>
        <w:rPr>
          <w:rFonts w:eastAsiaTheme="minorEastAsia"/>
        </w:rPr>
      </w:pPr>
      <w:r w:rsidRPr="00B90508">
        <w:rPr>
          <w:rFonts w:eastAsia="Calibri"/>
        </w:rPr>
        <w:t xml:space="preserve">Changing land cover from natural covers such as forests to more developed status </w:t>
      </w:r>
    </w:p>
    <w:p w14:paraId="52A05229" w14:textId="77777777" w:rsidR="00B90508" w:rsidRPr="00B90508" w:rsidRDefault="00B90508" w:rsidP="00B90508">
      <w:pPr>
        <w:numPr>
          <w:ilvl w:val="0"/>
          <w:numId w:val="51"/>
        </w:numPr>
        <w:spacing w:line="276" w:lineRule="auto"/>
        <w:contextualSpacing/>
        <w:rPr>
          <w:rFonts w:eastAsiaTheme="minorEastAsia"/>
        </w:rPr>
      </w:pPr>
      <w:r w:rsidRPr="00B90508">
        <w:rPr>
          <w:rFonts w:eastAsia="Calibri"/>
        </w:rPr>
        <w:t>Increasing the amount of impervious surfaces, which leads to changes in stormwater flow and increases pollution in stormwater</w:t>
      </w:r>
    </w:p>
    <w:p w14:paraId="6B7CBE9E" w14:textId="77777777" w:rsidR="00B90508" w:rsidRPr="00B90508" w:rsidRDefault="00B90508" w:rsidP="00B90508">
      <w:pPr>
        <w:numPr>
          <w:ilvl w:val="0"/>
          <w:numId w:val="51"/>
        </w:numPr>
        <w:spacing w:line="276" w:lineRule="auto"/>
        <w:contextualSpacing/>
        <w:rPr>
          <w:rFonts w:eastAsiaTheme="minorEastAsia"/>
        </w:rPr>
      </w:pPr>
      <w:r w:rsidRPr="00B90508">
        <w:rPr>
          <w:rFonts w:eastAsia="Calibri"/>
        </w:rPr>
        <w:t>Pollution from improperly maintained septic systems</w:t>
      </w:r>
    </w:p>
    <w:p w14:paraId="2BA9976E" w14:textId="77777777" w:rsidR="00B90508" w:rsidRPr="00B90508" w:rsidRDefault="00B90508" w:rsidP="00B90508">
      <w:pPr>
        <w:numPr>
          <w:ilvl w:val="0"/>
          <w:numId w:val="51"/>
        </w:numPr>
        <w:spacing w:line="276" w:lineRule="auto"/>
        <w:contextualSpacing/>
        <w:rPr>
          <w:rFonts w:eastAsiaTheme="minorEastAsia"/>
        </w:rPr>
      </w:pPr>
      <w:r w:rsidRPr="00B90508">
        <w:rPr>
          <w:rFonts w:eastAsia="Calibri"/>
        </w:rPr>
        <w:t>Pollution from point sources such as wastewater treatment plants, stormwater outfall, and industry sources</w:t>
      </w:r>
    </w:p>
    <w:p w14:paraId="24231D52" w14:textId="77777777" w:rsidR="00B90508" w:rsidRPr="00B90508" w:rsidRDefault="00B90508" w:rsidP="00B90508">
      <w:pPr>
        <w:numPr>
          <w:ilvl w:val="0"/>
          <w:numId w:val="51"/>
        </w:numPr>
        <w:spacing w:line="276" w:lineRule="auto"/>
        <w:contextualSpacing/>
        <w:rPr>
          <w:rFonts w:eastAsiaTheme="minorEastAsia"/>
        </w:rPr>
      </w:pPr>
      <w:r w:rsidRPr="00B90508">
        <w:rPr>
          <w:rFonts w:eastAsia="Calibri"/>
        </w:rPr>
        <w:t>Pollution from nonpoint sources such as forestry, agriculture, and livestock management</w:t>
      </w:r>
    </w:p>
    <w:p w14:paraId="1AECAB43" w14:textId="1A406916" w:rsidR="00B90508" w:rsidRPr="00DB2B36" w:rsidRDefault="00B90508" w:rsidP="00DB2B36">
      <w:pPr>
        <w:numPr>
          <w:ilvl w:val="0"/>
          <w:numId w:val="51"/>
        </w:numPr>
        <w:spacing w:line="276" w:lineRule="auto"/>
        <w:rPr>
          <w:rFonts w:eastAsiaTheme="minorEastAsia"/>
        </w:rPr>
      </w:pPr>
      <w:r w:rsidRPr="00B90508">
        <w:rPr>
          <w:rFonts w:eastAsia="Calibri"/>
        </w:rPr>
        <w:t>Increasing temperatures related to climate change</w:t>
      </w:r>
    </w:p>
    <w:p w14:paraId="0472E2F7" w14:textId="77777777" w:rsidR="00B90508" w:rsidRPr="00B90508" w:rsidRDefault="00B90508" w:rsidP="00B90508">
      <w:pPr>
        <w:spacing w:line="276" w:lineRule="auto"/>
        <w:rPr>
          <w:rFonts w:eastAsiaTheme="minorEastAsia"/>
        </w:rPr>
      </w:pPr>
      <w:r w:rsidRPr="00B90508">
        <w:rPr>
          <w:rFonts w:eastAsiaTheme="minorEastAsia"/>
        </w:rPr>
        <w:t xml:space="preserve">The Alliance identified three attributes to help understand water quality conditions and trends: freshwater quality, benthic macroinvertebrate populations, and marine water quality. In combination, these attributes provide a measure of the physical, chemical, and biological condition of both fresh and saltwater bodies in the South Sound. Based on these attributes, freshwater water quality in the South Sound is generally good. Marine water quality is currently fair in the South Sound waters and finger inlets; however, monitoring data over the last 15 years document a negative change in marine water quality over time. </w:t>
      </w:r>
    </w:p>
    <w:p w14:paraId="4679C4FE"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83" w:name="_ymjwyocvdkly" w:colFirst="0" w:colLast="0"/>
      <w:bookmarkStart w:id="284" w:name="_Toc463000019"/>
      <w:bookmarkEnd w:id="283"/>
      <w:r w:rsidRPr="00B90508">
        <w:rPr>
          <w:rFonts w:asciiTheme="majorHAnsi" w:eastAsiaTheme="majorEastAsia" w:hAnsiTheme="majorHAnsi" w:cstheme="majorBidi"/>
          <w:color w:val="2B5A8E"/>
          <w:sz w:val="32"/>
          <w:szCs w:val="32"/>
          <w:u w:color="33CC33"/>
        </w:rPr>
        <w:t>Freshwater Water Quality Baseline and Status</w:t>
      </w:r>
      <w:bookmarkEnd w:id="284"/>
    </w:p>
    <w:p w14:paraId="48872501" w14:textId="77777777" w:rsidR="00B90508" w:rsidRPr="00B90508" w:rsidRDefault="00B90508" w:rsidP="00B90508">
      <w:pPr>
        <w:spacing w:line="276" w:lineRule="auto"/>
        <w:rPr>
          <w:rFonts w:eastAsiaTheme="minorEastAsia"/>
        </w:rPr>
      </w:pPr>
      <w:r w:rsidRPr="00B90508">
        <w:rPr>
          <w:rFonts w:eastAsiaTheme="minorEastAsia"/>
        </w:rPr>
        <w:t>To understand freshwater water quality in South Sound, the Alliance will rely primarily on water quality monitoring conducted by county and tribal governments in lakes and smaller streams. All three South Sound counties have extensive freshwater water quality monitoring programs. Programs involve either water quality index monitoring, benthic macroinvertebrate monitoring, or both. The objectives of county water quality monitoring programs generally are to:</w:t>
      </w:r>
    </w:p>
    <w:p w14:paraId="03A38450" w14:textId="77777777" w:rsidR="00B90508" w:rsidRPr="00B90508" w:rsidRDefault="00B90508" w:rsidP="00B90508">
      <w:pPr>
        <w:keepNext/>
        <w:keepLines/>
        <w:numPr>
          <w:ilvl w:val="0"/>
          <w:numId w:val="49"/>
        </w:numPr>
        <w:spacing w:line="276" w:lineRule="auto"/>
        <w:contextualSpacing/>
        <w:rPr>
          <w:rFonts w:eastAsiaTheme="minorEastAsia"/>
        </w:rPr>
      </w:pPr>
      <w:r w:rsidRPr="00B90508">
        <w:rPr>
          <w:rFonts w:eastAsiaTheme="minorEastAsia"/>
        </w:rPr>
        <w:lastRenderedPageBreak/>
        <w:t xml:space="preserve">Collect baseline information about the water quantity and water quality condition of streams and lakes; </w:t>
      </w:r>
    </w:p>
    <w:p w14:paraId="3317A896" w14:textId="77777777" w:rsidR="00B90508" w:rsidRPr="00B90508" w:rsidRDefault="00B90508" w:rsidP="00B90508">
      <w:pPr>
        <w:keepNext/>
        <w:keepLines/>
        <w:numPr>
          <w:ilvl w:val="0"/>
          <w:numId w:val="49"/>
        </w:numPr>
        <w:spacing w:line="276" w:lineRule="auto"/>
        <w:contextualSpacing/>
        <w:rPr>
          <w:rFonts w:eastAsiaTheme="minorEastAsia"/>
        </w:rPr>
      </w:pPr>
      <w:r w:rsidRPr="00B90508">
        <w:rPr>
          <w:rFonts w:eastAsiaTheme="minorEastAsia"/>
        </w:rPr>
        <w:t xml:space="preserve">Identify problem areas; and </w:t>
      </w:r>
    </w:p>
    <w:p w14:paraId="2DAB4CD3" w14:textId="77777777" w:rsidR="00B90508" w:rsidRPr="00B90508" w:rsidRDefault="00B90508" w:rsidP="00DB2B36">
      <w:pPr>
        <w:numPr>
          <w:ilvl w:val="0"/>
          <w:numId w:val="51"/>
        </w:numPr>
        <w:spacing w:line="276" w:lineRule="auto"/>
        <w:rPr>
          <w:rFonts w:eastAsiaTheme="minorEastAsia"/>
        </w:rPr>
      </w:pPr>
      <w:r w:rsidRPr="00B90508">
        <w:rPr>
          <w:rFonts w:eastAsiaTheme="minorEastAsia"/>
        </w:rPr>
        <w:t xml:space="preserve">Track </w:t>
      </w:r>
      <w:r w:rsidRPr="00DB2B36">
        <w:rPr>
          <w:rFonts w:eastAsia="Calibri"/>
        </w:rPr>
        <w:t>trends</w:t>
      </w:r>
      <w:r w:rsidRPr="00B90508">
        <w:rPr>
          <w:rFonts w:eastAsiaTheme="minorEastAsia"/>
        </w:rPr>
        <w:t xml:space="preserve"> in streamflow and water quality over time. </w:t>
      </w:r>
    </w:p>
    <w:p w14:paraId="1FAEF553" w14:textId="77777777" w:rsidR="00B90508" w:rsidRPr="00B90508" w:rsidRDefault="00B90508" w:rsidP="00B90508">
      <w:pPr>
        <w:spacing w:line="276" w:lineRule="auto"/>
        <w:rPr>
          <w:rFonts w:eastAsiaTheme="minorEastAsia"/>
        </w:rPr>
      </w:pPr>
      <w:r w:rsidRPr="00B90508">
        <w:rPr>
          <w:rFonts w:eastAsiaTheme="minorEastAsia"/>
        </w:rPr>
        <w:t xml:space="preserve">Water quality index monitoring compares data on </w:t>
      </w:r>
      <w:r w:rsidRPr="00B90508">
        <w:rPr>
          <w:rFonts w:eastAsiaTheme="minorEastAsia"/>
          <w:color w:val="000000"/>
          <w:highlight w:val="white"/>
        </w:rPr>
        <w:t xml:space="preserve">temperature, pH, fecal coliform bacteria, dissolved oxygen, total suspended sediment, turbidity, total phosphorus and total nitrogen to State water quality curves and standards (described below). </w:t>
      </w:r>
      <w:r w:rsidRPr="00B90508">
        <w:rPr>
          <w:rFonts w:eastAsiaTheme="minorEastAsia"/>
        </w:rPr>
        <w:t xml:space="preserve">Benthic macroinvertebrate monitoring examines the </w:t>
      </w:r>
      <w:r w:rsidRPr="00B90508">
        <w:rPr>
          <w:rFonts w:eastAsiaTheme="minorEastAsia"/>
          <w:color w:val="000000"/>
          <w:highlight w:val="white"/>
        </w:rPr>
        <w:t>type, number and diversity of bugs that live on the stream bottom. Insect samples are collected and sent to laboratories where the bugs are identified, grouped, and counted. The bug population data is analyzed using a scoring system called the Benthic Index of Biological Integrity (B-IBI). This produces a number ranging from 10 (very poor) to 50 (excellent), which describes the biological condition of stream sites and their surrounding habitat based on the diversity and relative abundance of the benthic (bottom dwelling) macroinvertebrates living there. B-IBI sampling can provide a measure of stream health at a given point in time as well detect changes in stream condition over time.</w:t>
      </w:r>
    </w:p>
    <w:p w14:paraId="16062D3F"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State-wide Monitoring</w:t>
      </w:r>
    </w:p>
    <w:p w14:paraId="0602974B" w14:textId="77777777" w:rsidR="00B90508" w:rsidRPr="00B90508" w:rsidRDefault="00B90508" w:rsidP="00B90508">
      <w:pPr>
        <w:spacing w:line="276" w:lineRule="auto"/>
        <w:rPr>
          <w:rFonts w:eastAsiaTheme="minorEastAsia"/>
        </w:rPr>
      </w:pPr>
      <w:r w:rsidRPr="00B90508">
        <w:rPr>
          <w:rFonts w:eastAsiaTheme="minorEastAsia"/>
        </w:rPr>
        <w:t xml:space="preserve">The Statewide Water Quality Monitoring Network is operated by the Washington Department of Ecology (Ecology). The state uses a Freshwater Water Quality Index for rivers and streams for ongoing monitoring that combines eight measures of water quality. Four of the component measures, dissolved oxygen, pH, temperature, and fecal coliform bacteria, are tied to the state’s Water Quality Standards for protecting aquatic life and contact recreation. The other four measures, nitrogen, phosphorus, suspended sediment, and turbidity, do not have numeric standards, although they are related to general ecosystem function. </w:t>
      </w:r>
      <w:r w:rsidRPr="00B90508">
        <w:rPr>
          <w:rFonts w:eastAsiaTheme="minorEastAsia"/>
          <w:color w:val="000000"/>
          <w:highlight w:val="white"/>
        </w:rPr>
        <w:t>The data is compiled to create an index score between 1 and 100, with higher numbers indicating better water quality. Scores are calculated for each water year from October 1</w:t>
      </w:r>
      <w:r w:rsidRPr="00B90508">
        <w:rPr>
          <w:rFonts w:eastAsiaTheme="minorEastAsia"/>
          <w:color w:val="000000"/>
          <w:highlight w:val="white"/>
          <w:vertAlign w:val="superscript"/>
        </w:rPr>
        <w:t>st</w:t>
      </w:r>
      <w:r w:rsidRPr="00B90508">
        <w:rPr>
          <w:rFonts w:eastAsiaTheme="minorEastAsia"/>
          <w:color w:val="000000"/>
          <w:highlight w:val="white"/>
        </w:rPr>
        <w:t xml:space="preserve"> to September 30</w:t>
      </w:r>
      <w:r w:rsidRPr="00B90508">
        <w:rPr>
          <w:rFonts w:eastAsiaTheme="minorEastAsia"/>
          <w:color w:val="000000"/>
          <w:highlight w:val="white"/>
          <w:vertAlign w:val="superscript"/>
        </w:rPr>
        <w:t>th</w:t>
      </w:r>
      <w:r w:rsidRPr="00B90508">
        <w:rPr>
          <w:rFonts w:eastAsiaTheme="minorEastAsia"/>
          <w:color w:val="000000"/>
          <w:highlight w:val="white"/>
        </w:rPr>
        <w:t xml:space="preserve"> and results aggregated over time to produce a single yearly score for each sample station.</w:t>
      </w:r>
      <w:r w:rsidRPr="00B90508">
        <w:rPr>
          <w:rFonts w:eastAsiaTheme="minorEastAsia"/>
        </w:rPr>
        <w:t> </w:t>
      </w:r>
    </w:p>
    <w:p w14:paraId="2C72BDB6" w14:textId="77777777" w:rsidR="00B90508" w:rsidRPr="00B90508" w:rsidRDefault="00B90508" w:rsidP="00B90508">
      <w:pPr>
        <w:spacing w:line="276" w:lineRule="auto"/>
        <w:rPr>
          <w:rFonts w:eastAsiaTheme="minorEastAsia"/>
        </w:rPr>
      </w:pPr>
      <w:r w:rsidRPr="00B90508">
        <w:rPr>
          <w:rFonts w:eastAsiaTheme="minorEastAsia"/>
        </w:rPr>
        <w:t>The statewide monitoring network has only two stations on waterbodies in the South Sound: (1) Nisqually River at Nisqually, and (2) Deschutes River at East St. Bridge. In 2013, the Nisqually River station scored 83 points on the index and the Deschutes scored 78 points. Water quality scores for both stations have steadily improved between 2000 and 2013. Both stations have averaged 75 points over the period indicating relatively good water quality.</w:t>
      </w:r>
    </w:p>
    <w:p w14:paraId="48E4C210" w14:textId="77777777" w:rsidR="00B90508" w:rsidRPr="00B90508" w:rsidRDefault="00B90508" w:rsidP="00B90508">
      <w:pPr>
        <w:spacing w:after="0" w:line="276" w:lineRule="auto"/>
        <w:jc w:val="center"/>
        <w:rPr>
          <w:rFonts w:eastAsiaTheme="minorEastAsia"/>
        </w:rPr>
      </w:pPr>
      <w:r w:rsidRPr="00B90508">
        <w:rPr>
          <w:rFonts w:eastAsiaTheme="minorEastAsia"/>
          <w:noProof/>
        </w:rPr>
        <w:lastRenderedPageBreak/>
        <w:drawing>
          <wp:inline distT="0" distB="0" distL="0" distR="0" wp14:anchorId="7FDC2C2E" wp14:editId="3C97EC3A">
            <wp:extent cx="4230537" cy="2482638"/>
            <wp:effectExtent l="9525" t="9525" r="9525" b="9525"/>
            <wp:docPr id="247" name="image02.png"/>
            <wp:cNvGraphicFramePr/>
            <a:graphic xmlns:a="http://schemas.openxmlformats.org/drawingml/2006/main">
              <a:graphicData uri="http://schemas.openxmlformats.org/drawingml/2006/picture">
                <pic:pic xmlns:pic="http://schemas.openxmlformats.org/drawingml/2006/picture">
                  <pic:nvPicPr>
                    <pic:cNvPr id="0" name="image02.png"/>
                    <pic:cNvPicPr preferRelativeResize="0"/>
                  </pic:nvPicPr>
                  <pic:blipFill>
                    <a:blip r:embed="rId128"/>
                    <a:srcRect t="13933"/>
                    <a:stretch>
                      <a:fillRect/>
                    </a:stretch>
                  </pic:blipFill>
                  <pic:spPr>
                    <a:xfrm>
                      <a:off x="0" y="0"/>
                      <a:ext cx="4230537" cy="2482638"/>
                    </a:xfrm>
                    <a:prstGeom prst="rect">
                      <a:avLst/>
                    </a:prstGeom>
                    <a:ln w="9525">
                      <a:solidFill>
                        <a:srgbClr val="000000"/>
                      </a:solidFill>
                      <a:prstDash val="solid"/>
                    </a:ln>
                  </pic:spPr>
                </pic:pic>
              </a:graphicData>
            </a:graphic>
          </wp:inline>
        </w:drawing>
      </w:r>
    </w:p>
    <w:p w14:paraId="0AF5BC94"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Freshwater Quality Index Scores at Nisqually and Deschutes River Stations 2000-2013</w:t>
      </w:r>
      <w:r w:rsidRPr="00B90508">
        <w:rPr>
          <w:rFonts w:ascii="Calibri" w:eastAsia="Calibri" w:hAnsi="Calibri" w:cs="Calibri"/>
          <w:b/>
          <w:sz w:val="18"/>
        </w:rPr>
        <w:br/>
        <w:t xml:space="preserve"> (Statewide Water Quality Monitoring Network, Department of Ecology)</w:t>
      </w:r>
    </w:p>
    <w:p w14:paraId="1050284D" w14:textId="77777777" w:rsidR="00B90508" w:rsidRPr="00B90508" w:rsidRDefault="00B90508" w:rsidP="00B90508">
      <w:pPr>
        <w:spacing w:line="276" w:lineRule="auto"/>
        <w:rPr>
          <w:rFonts w:eastAsiaTheme="minorEastAsia"/>
        </w:rPr>
      </w:pPr>
      <w:r w:rsidRPr="00B90508">
        <w:rPr>
          <w:rFonts w:eastAsiaTheme="minorEastAsia"/>
        </w:rPr>
        <w:t>Benthic macroinvertebrate sampling has been conducted at multiple locations in the South Sound by Ecology, Pierce, Thurston and Kitsap counties since the late 1990s. However, many locations are not regularly sampled and some have only or two sampling events. The Puget Sound Stream Benthos is a data repository for macroinvertebrate data collected throughout Puget Sound region (</w:t>
      </w:r>
      <w:hyperlink r:id="rId129">
        <w:r w:rsidRPr="00B90508">
          <w:rPr>
            <w:rFonts w:eastAsiaTheme="minorEastAsia"/>
            <w:color w:val="2B5A8E"/>
            <w:u w:val="single"/>
          </w:rPr>
          <w:t>link</w:t>
        </w:r>
      </w:hyperlink>
      <w:r w:rsidRPr="00B90508">
        <w:rPr>
          <w:rFonts w:eastAsiaTheme="minorEastAsia"/>
        </w:rPr>
        <w:t>). Data and B-IBI scores determined by local and state agencies are uploaded and available through the website.</w:t>
      </w:r>
    </w:p>
    <w:p w14:paraId="6E26BDBA" w14:textId="77777777" w:rsidR="00B90508" w:rsidRPr="00B90508" w:rsidRDefault="00B90508" w:rsidP="00B90508">
      <w:pPr>
        <w:spacing w:after="0" w:line="276" w:lineRule="auto"/>
        <w:jc w:val="center"/>
        <w:rPr>
          <w:rFonts w:eastAsiaTheme="minorEastAsia"/>
        </w:rPr>
      </w:pPr>
      <w:r w:rsidRPr="00B90508">
        <w:rPr>
          <w:rFonts w:eastAsiaTheme="minorEastAsia"/>
          <w:noProof/>
        </w:rPr>
        <w:lastRenderedPageBreak/>
        <w:drawing>
          <wp:inline distT="0" distB="0" distL="0" distR="0" wp14:anchorId="2B4E4F4E" wp14:editId="76451BD4">
            <wp:extent cx="5922581" cy="4691874"/>
            <wp:effectExtent l="0" t="0" r="0" b="0"/>
            <wp:docPr id="248" name="image07.png"/>
            <wp:cNvGraphicFramePr/>
            <a:graphic xmlns:a="http://schemas.openxmlformats.org/drawingml/2006/main">
              <a:graphicData uri="http://schemas.openxmlformats.org/drawingml/2006/picture">
                <pic:pic xmlns:pic="http://schemas.openxmlformats.org/drawingml/2006/picture">
                  <pic:nvPicPr>
                    <pic:cNvPr id="0" name="image07.png"/>
                    <pic:cNvPicPr preferRelativeResize="0"/>
                  </pic:nvPicPr>
                  <pic:blipFill>
                    <a:blip r:embed="rId130"/>
                    <a:srcRect/>
                    <a:stretch>
                      <a:fillRect/>
                    </a:stretch>
                  </pic:blipFill>
                  <pic:spPr>
                    <a:xfrm>
                      <a:off x="0" y="0"/>
                      <a:ext cx="5922581" cy="4691874"/>
                    </a:xfrm>
                    <a:prstGeom prst="rect">
                      <a:avLst/>
                    </a:prstGeom>
                    <a:ln/>
                  </pic:spPr>
                </pic:pic>
              </a:graphicData>
            </a:graphic>
          </wp:inline>
        </w:drawing>
      </w:r>
    </w:p>
    <w:p w14:paraId="5F498BC5"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B-IBI Sampling Station Locations and Overall Scores (Puget Sound Stream Benthos)</w:t>
      </w:r>
    </w:p>
    <w:p w14:paraId="2383E081" w14:textId="77777777" w:rsidR="00B90508" w:rsidRPr="00B90508" w:rsidRDefault="00B90508" w:rsidP="00B90508">
      <w:pPr>
        <w:spacing w:line="276" w:lineRule="auto"/>
        <w:rPr>
          <w:rFonts w:eastAsiaTheme="minorEastAsia"/>
        </w:rPr>
      </w:pPr>
      <w:r w:rsidRPr="00B90508">
        <w:rPr>
          <w:rFonts w:eastAsiaTheme="minorEastAsia"/>
        </w:rPr>
        <w:t>Based on a review of all available data, stream conditions reported by B-IBI scores range widely throughout the South Sound. B-IBI scores since the late 1990s show improvement of stream conditions for locations in the Upper Nisqually watershed, Goldsborough Creek, Key Peninsula, and Burley Creek areas. Kennedy Creek, Lower Deschutes, and McAllister Creek also show increasing trends in B-IBI scores. However, several areas show decreasing trends in B-IBI scores including Woodland Creek, lower and middle Nisqually watershed, lower Chambers-Clover.</w:t>
      </w:r>
    </w:p>
    <w:p w14:paraId="154889D6" w14:textId="77777777" w:rsidR="00B90508" w:rsidRPr="00B90508" w:rsidRDefault="00B90508" w:rsidP="00B90508">
      <w:pPr>
        <w:spacing w:after="0" w:line="276" w:lineRule="auto"/>
        <w:jc w:val="center"/>
        <w:rPr>
          <w:rFonts w:eastAsiaTheme="minorEastAsia"/>
        </w:rPr>
      </w:pPr>
      <w:r w:rsidRPr="00B90508">
        <w:rPr>
          <w:rFonts w:eastAsiaTheme="minorEastAsia"/>
          <w:noProof/>
        </w:rPr>
        <w:lastRenderedPageBreak/>
        <w:drawing>
          <wp:inline distT="0" distB="0" distL="0" distR="0" wp14:anchorId="54499292" wp14:editId="2588BCF0">
            <wp:extent cx="2724164" cy="2063486"/>
            <wp:effectExtent l="0" t="0" r="0" b="0"/>
            <wp:docPr id="249" name="image04.png"/>
            <wp:cNvGraphicFramePr/>
            <a:graphic xmlns:a="http://schemas.openxmlformats.org/drawingml/2006/main">
              <a:graphicData uri="http://schemas.openxmlformats.org/drawingml/2006/picture">
                <pic:pic xmlns:pic="http://schemas.openxmlformats.org/drawingml/2006/picture">
                  <pic:nvPicPr>
                    <pic:cNvPr id="0" name="image04.png"/>
                    <pic:cNvPicPr preferRelativeResize="0"/>
                  </pic:nvPicPr>
                  <pic:blipFill>
                    <a:blip r:embed="rId131"/>
                    <a:srcRect/>
                    <a:stretch>
                      <a:fillRect/>
                    </a:stretch>
                  </pic:blipFill>
                  <pic:spPr>
                    <a:xfrm>
                      <a:off x="0" y="0"/>
                      <a:ext cx="2724164" cy="2063486"/>
                    </a:xfrm>
                    <a:prstGeom prst="rect">
                      <a:avLst/>
                    </a:prstGeom>
                    <a:ln/>
                  </pic:spPr>
                </pic:pic>
              </a:graphicData>
            </a:graphic>
          </wp:inline>
        </w:drawing>
      </w:r>
    </w:p>
    <w:p w14:paraId="1ADC8979"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X. B-IBI Trends from 1994-2015 (Puget Sound Stream Benthos)</w:t>
      </w:r>
    </w:p>
    <w:p w14:paraId="19929950" w14:textId="77777777" w:rsidR="00B90508" w:rsidRPr="00B90508" w:rsidRDefault="00B90508" w:rsidP="00B90508">
      <w:pPr>
        <w:spacing w:line="276" w:lineRule="auto"/>
        <w:rPr>
          <w:rFonts w:eastAsiaTheme="minorEastAsia"/>
        </w:rPr>
      </w:pPr>
      <w:r w:rsidRPr="00B90508">
        <w:rPr>
          <w:rFonts w:eastAsiaTheme="minorEastAsia"/>
        </w:rPr>
        <w:t xml:space="preserve">The above depiction of trends is based on available data. As noted previously, many locations are not regularly sampled and some have only or two sampling events. </w:t>
      </w:r>
    </w:p>
    <w:p w14:paraId="281047F0"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 xml:space="preserve">Local Monitoring </w:t>
      </w:r>
    </w:p>
    <w:p w14:paraId="13A48CAB" w14:textId="77777777" w:rsidR="00B90508" w:rsidRPr="00B90508" w:rsidRDefault="00B90508" w:rsidP="00B90508">
      <w:pPr>
        <w:keepNext/>
        <w:keepLines/>
        <w:spacing w:after="60" w:line="276" w:lineRule="auto"/>
        <w:outlineLvl w:val="3"/>
        <w:rPr>
          <w:rFonts w:asciiTheme="majorHAnsi" w:eastAsiaTheme="majorEastAsia" w:hAnsiTheme="majorHAnsi" w:cstheme="majorBidi"/>
          <w:color w:val="2E74B5" w:themeColor="accent1" w:themeShade="BF"/>
        </w:rPr>
      </w:pPr>
      <w:r w:rsidRPr="00B90508">
        <w:rPr>
          <w:rFonts w:asciiTheme="majorHAnsi" w:eastAsiaTheme="majorEastAsia" w:hAnsiTheme="majorHAnsi" w:cstheme="majorBidi"/>
          <w:color w:val="2E74B5" w:themeColor="accent1" w:themeShade="BF"/>
        </w:rPr>
        <w:t>Pierce County</w:t>
      </w:r>
    </w:p>
    <w:p w14:paraId="2AB544BA" w14:textId="77777777" w:rsidR="00B90508" w:rsidRPr="00B90508" w:rsidRDefault="00B90508" w:rsidP="00B90508">
      <w:pPr>
        <w:spacing w:line="276" w:lineRule="auto"/>
        <w:rPr>
          <w:rFonts w:eastAsiaTheme="minorEastAsia"/>
        </w:rPr>
      </w:pPr>
      <w:r w:rsidRPr="00B90508">
        <w:rPr>
          <w:rFonts w:eastAsiaTheme="minorEastAsia"/>
        </w:rPr>
        <w:t xml:space="preserve">In Pierce County, water quality index sampling is done in more than 50 streams and B-IBI sampling is done in more than 30. Pierce County combines water quality index scores with B-IBI scores to create a single letter grade for the 39 </w:t>
      </w:r>
      <w:r w:rsidRPr="00B90508">
        <w:rPr>
          <w:rFonts w:eastAsiaTheme="minorEastAsia"/>
          <w:color w:val="000000"/>
          <w:highlight w:val="white"/>
        </w:rPr>
        <w:t>major watersheds in the County. The goal is for all streams and lakes to score “better than average.” In 2015 42% of streams and lakes met that goal. Of the 13 streams showing statistically significant trends two (Crescent and Purdy creeks) are improving in both the water quality index and BIBI, and five (Canyon Falls, Squally, Swan, Ray Nash, and Artondale creeks) are improving in WQI but decreasing in BIBI, and four (Clear, Horn, Lacamas, and Huge) are declining in SWI but improving in BIBI. Two streams (Ohop and Clover creeks) are declining in both WQI and BIBI.</w:t>
      </w:r>
    </w:p>
    <w:p w14:paraId="071A6DCA" w14:textId="77777777" w:rsidR="00B90508" w:rsidRPr="00B90508" w:rsidRDefault="00B90508" w:rsidP="00B90508">
      <w:pPr>
        <w:keepNext/>
        <w:keepLines/>
        <w:spacing w:after="60" w:line="276" w:lineRule="auto"/>
        <w:outlineLvl w:val="3"/>
        <w:rPr>
          <w:rFonts w:asciiTheme="majorHAnsi" w:eastAsiaTheme="majorEastAsia" w:hAnsiTheme="majorHAnsi" w:cstheme="majorBidi"/>
          <w:color w:val="2E74B5" w:themeColor="accent1" w:themeShade="BF"/>
        </w:rPr>
      </w:pPr>
      <w:r w:rsidRPr="00B90508">
        <w:rPr>
          <w:rFonts w:asciiTheme="majorHAnsi" w:eastAsiaTheme="majorEastAsia" w:hAnsiTheme="majorHAnsi" w:cstheme="majorBidi"/>
          <w:color w:val="2E74B5" w:themeColor="accent1" w:themeShade="BF"/>
        </w:rPr>
        <w:t>Thurston County</w:t>
      </w:r>
    </w:p>
    <w:p w14:paraId="1BF2862C" w14:textId="77777777" w:rsidR="00B90508" w:rsidRPr="00B90508" w:rsidRDefault="00B90508" w:rsidP="00B90508">
      <w:pPr>
        <w:keepNext/>
        <w:keepLines/>
        <w:spacing w:after="60" w:line="276" w:lineRule="auto"/>
        <w:outlineLvl w:val="3"/>
        <w:rPr>
          <w:rFonts w:asciiTheme="majorHAnsi" w:eastAsiaTheme="majorEastAsia" w:hAnsiTheme="majorHAnsi" w:cstheme="majorBidi"/>
          <w:color w:val="2E74B5" w:themeColor="accent1" w:themeShade="BF"/>
        </w:rPr>
      </w:pPr>
      <w:r w:rsidRPr="00B90508">
        <w:rPr>
          <w:rFonts w:asciiTheme="majorHAnsi" w:eastAsiaTheme="majorEastAsia" w:hAnsiTheme="majorHAnsi" w:cstheme="majorBidi"/>
          <w:color w:val="2E74B5" w:themeColor="accent1" w:themeShade="BF"/>
        </w:rPr>
        <w:t>Mason County</w:t>
      </w:r>
    </w:p>
    <w:p w14:paraId="42120AC5" w14:textId="77777777" w:rsidR="00B90508" w:rsidRPr="00B90508" w:rsidRDefault="00B90508" w:rsidP="00B90508">
      <w:pPr>
        <w:keepNext/>
        <w:keepLines/>
        <w:spacing w:after="60" w:line="276" w:lineRule="auto"/>
        <w:outlineLvl w:val="3"/>
        <w:rPr>
          <w:rFonts w:asciiTheme="majorHAnsi" w:eastAsiaTheme="majorEastAsia" w:hAnsiTheme="majorHAnsi" w:cstheme="majorBidi"/>
          <w:color w:val="2E74B5" w:themeColor="accent1" w:themeShade="BF"/>
        </w:rPr>
      </w:pPr>
      <w:r w:rsidRPr="00B90508">
        <w:rPr>
          <w:rFonts w:asciiTheme="majorHAnsi" w:eastAsiaTheme="majorEastAsia" w:hAnsiTheme="majorHAnsi" w:cstheme="majorBidi"/>
          <w:color w:val="2E74B5" w:themeColor="accent1" w:themeShade="BF"/>
        </w:rPr>
        <w:t>Tribal Governments</w:t>
      </w:r>
    </w:p>
    <w:p w14:paraId="4933F7AA" w14:textId="77777777" w:rsidR="00B90508" w:rsidRPr="00B90508" w:rsidRDefault="00B90508" w:rsidP="00B90508">
      <w:pPr>
        <w:spacing w:line="276" w:lineRule="auto"/>
        <w:rPr>
          <w:rFonts w:eastAsiaTheme="minorEastAsia"/>
          <w:b/>
          <w:bCs/>
          <w:i/>
          <w:iCs/>
          <w:color w:val="2E74B5" w:themeColor="accent1" w:themeShade="BF"/>
        </w:rPr>
      </w:pPr>
      <w:r w:rsidRPr="00B90508">
        <w:rPr>
          <w:rFonts w:eastAsiaTheme="minorEastAsia"/>
          <w:b/>
          <w:bCs/>
          <w:i/>
          <w:iCs/>
          <w:color w:val="2E74B5" w:themeColor="accent1" w:themeShade="BF"/>
        </w:rPr>
        <w:t>[9/30 Reviewers: we need help better describing local monitoring efforts – and results – for water quality. We have information right now only for Pierce County and we want to describe what other jurisdictions are doing too. Thank you!]</w:t>
      </w:r>
    </w:p>
    <w:p w14:paraId="69B11543"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85" w:name="_olcx2xbtm69v" w:colFirst="0" w:colLast="0"/>
      <w:bookmarkStart w:id="286" w:name="_Toc463000020"/>
      <w:bookmarkEnd w:id="285"/>
      <w:r w:rsidRPr="00B90508">
        <w:rPr>
          <w:rFonts w:asciiTheme="majorHAnsi" w:eastAsiaTheme="majorEastAsia" w:hAnsiTheme="majorHAnsi" w:cstheme="majorBidi"/>
          <w:color w:val="2B5A8E"/>
          <w:sz w:val="32"/>
          <w:szCs w:val="32"/>
          <w:u w:color="33CC33"/>
        </w:rPr>
        <w:t>Strategies, Existing Programs, and Actions</w:t>
      </w:r>
      <w:bookmarkEnd w:id="286"/>
    </w:p>
    <w:p w14:paraId="4989A9BE" w14:textId="77777777" w:rsidR="00B90508" w:rsidRPr="00B90508" w:rsidRDefault="00B90508" w:rsidP="00B90508">
      <w:pPr>
        <w:spacing w:line="276" w:lineRule="auto"/>
        <w:rPr>
          <w:rFonts w:eastAsiaTheme="minorEastAsia"/>
        </w:rPr>
      </w:pPr>
      <w:r w:rsidRPr="00B90508">
        <w:rPr>
          <w:rFonts w:eastAsiaTheme="minorEastAsia"/>
        </w:rPr>
        <w:t>Strategies to maintain and improve freshwater water quality are based on the major threats to water quality and include:</w:t>
      </w:r>
    </w:p>
    <w:p w14:paraId="4141C846" w14:textId="77777777" w:rsidR="00B90508" w:rsidRPr="00B90508" w:rsidRDefault="00B90508" w:rsidP="00B90508">
      <w:pPr>
        <w:numPr>
          <w:ilvl w:val="0"/>
          <w:numId w:val="50"/>
        </w:numPr>
        <w:spacing w:line="276" w:lineRule="auto"/>
        <w:contextualSpacing/>
        <w:rPr>
          <w:rFonts w:eastAsiaTheme="minorEastAsia"/>
        </w:rPr>
      </w:pPr>
      <w:r w:rsidRPr="00B90508">
        <w:rPr>
          <w:rFonts w:eastAsia="Calibri"/>
        </w:rPr>
        <w:t xml:space="preserve">Protecting land adjacent to streams and lakes through direct </w:t>
      </w:r>
      <w:r w:rsidRPr="00B90508">
        <w:rPr>
          <w:rFonts w:eastAsiaTheme="minorEastAsia"/>
        </w:rPr>
        <w:t>acquisition</w:t>
      </w:r>
      <w:r w:rsidRPr="00B90508">
        <w:rPr>
          <w:rFonts w:eastAsia="Calibri"/>
        </w:rPr>
        <w:t xml:space="preserve"> </w:t>
      </w:r>
    </w:p>
    <w:p w14:paraId="13ACEEA3" w14:textId="77777777" w:rsidR="00B90508" w:rsidRPr="00B90508" w:rsidRDefault="00B90508" w:rsidP="00B90508">
      <w:pPr>
        <w:numPr>
          <w:ilvl w:val="0"/>
          <w:numId w:val="50"/>
        </w:numPr>
        <w:spacing w:line="276" w:lineRule="auto"/>
        <w:contextualSpacing/>
        <w:rPr>
          <w:rFonts w:eastAsiaTheme="minorEastAsia"/>
        </w:rPr>
      </w:pPr>
      <w:r w:rsidRPr="00B90508">
        <w:rPr>
          <w:rFonts w:eastAsiaTheme="minorEastAsia"/>
        </w:rPr>
        <w:t xml:space="preserve">Protecting land adjacent to streams and lakes </w:t>
      </w:r>
      <w:r w:rsidRPr="00B90508">
        <w:rPr>
          <w:rFonts w:eastAsia="Calibri"/>
        </w:rPr>
        <w:t>through regulatory programs such as critical area programs.</w:t>
      </w:r>
    </w:p>
    <w:p w14:paraId="6C4BA872" w14:textId="77777777" w:rsidR="00B90508" w:rsidRPr="00B90508" w:rsidRDefault="00B90508" w:rsidP="00B90508">
      <w:pPr>
        <w:numPr>
          <w:ilvl w:val="0"/>
          <w:numId w:val="50"/>
        </w:numPr>
        <w:spacing w:line="276" w:lineRule="auto"/>
        <w:contextualSpacing/>
        <w:rPr>
          <w:rFonts w:eastAsiaTheme="minorEastAsia"/>
        </w:rPr>
      </w:pPr>
      <w:r w:rsidRPr="00B90508">
        <w:rPr>
          <w:rFonts w:eastAsia="Calibri"/>
        </w:rPr>
        <w:lastRenderedPageBreak/>
        <w:t>Providing incentives and sup</w:t>
      </w:r>
      <w:r w:rsidRPr="00B90508">
        <w:rPr>
          <w:rFonts w:eastAsiaTheme="minorEastAsia"/>
        </w:rPr>
        <w:t xml:space="preserve">port to landowners </w:t>
      </w:r>
      <w:r w:rsidRPr="00B90508">
        <w:rPr>
          <w:rFonts w:eastAsia="Calibri"/>
        </w:rPr>
        <w:t>to keep land in natural, or nearer to natural land covers, such as forest and agriculture.</w:t>
      </w:r>
    </w:p>
    <w:p w14:paraId="2D8A1753" w14:textId="77777777" w:rsidR="00B90508" w:rsidRPr="00B90508" w:rsidRDefault="00B90508" w:rsidP="00B90508">
      <w:pPr>
        <w:numPr>
          <w:ilvl w:val="0"/>
          <w:numId w:val="50"/>
        </w:numPr>
        <w:spacing w:line="276" w:lineRule="auto"/>
        <w:contextualSpacing/>
        <w:rPr>
          <w:rFonts w:eastAsiaTheme="minorEastAsia"/>
        </w:rPr>
      </w:pPr>
      <w:r w:rsidRPr="00B90508">
        <w:rPr>
          <w:rFonts w:eastAsia="Calibri"/>
        </w:rPr>
        <w:t>Concentrating growth in urban growth areas to limit the amount of new impervious surfaces created.</w:t>
      </w:r>
    </w:p>
    <w:p w14:paraId="25AD9303" w14:textId="77777777" w:rsidR="00B90508" w:rsidRPr="00B90508" w:rsidRDefault="00B90508" w:rsidP="00B90508">
      <w:pPr>
        <w:numPr>
          <w:ilvl w:val="0"/>
          <w:numId w:val="50"/>
        </w:numPr>
        <w:spacing w:line="276" w:lineRule="auto"/>
        <w:contextualSpacing/>
        <w:rPr>
          <w:rFonts w:eastAsiaTheme="minorEastAsia"/>
        </w:rPr>
      </w:pPr>
      <w:r w:rsidRPr="00B90508">
        <w:rPr>
          <w:rFonts w:eastAsia="Calibri"/>
        </w:rPr>
        <w:t xml:space="preserve">Providing support to </w:t>
      </w:r>
      <w:r w:rsidRPr="00B90508">
        <w:rPr>
          <w:rFonts w:eastAsiaTheme="minorEastAsia"/>
        </w:rPr>
        <w:t>landowners</w:t>
      </w:r>
      <w:r w:rsidRPr="00B90508">
        <w:rPr>
          <w:rFonts w:eastAsia="Calibri"/>
        </w:rPr>
        <w:t xml:space="preserve"> to limit pollutant loads to surface water through best management practices. </w:t>
      </w:r>
    </w:p>
    <w:p w14:paraId="0EED94FD" w14:textId="77777777" w:rsidR="00B90508" w:rsidRPr="00B90508" w:rsidRDefault="00B90508" w:rsidP="00B90508">
      <w:pPr>
        <w:numPr>
          <w:ilvl w:val="0"/>
          <w:numId w:val="50"/>
        </w:numPr>
        <w:spacing w:line="276" w:lineRule="auto"/>
        <w:contextualSpacing/>
        <w:rPr>
          <w:rFonts w:eastAsiaTheme="minorEastAsia"/>
        </w:rPr>
      </w:pPr>
      <w:r w:rsidRPr="00B90508">
        <w:rPr>
          <w:rFonts w:eastAsiaTheme="minorEastAsia"/>
        </w:rPr>
        <w:t xml:space="preserve">Identifying and correcting specific sources of pollution. </w:t>
      </w:r>
    </w:p>
    <w:p w14:paraId="4B79588B" w14:textId="77777777" w:rsidR="00B90508" w:rsidRPr="00B90508" w:rsidRDefault="00B90508" w:rsidP="00B90508">
      <w:pPr>
        <w:numPr>
          <w:ilvl w:val="0"/>
          <w:numId w:val="50"/>
        </w:numPr>
        <w:spacing w:line="276" w:lineRule="auto"/>
        <w:contextualSpacing/>
        <w:rPr>
          <w:rFonts w:eastAsiaTheme="minorEastAsia"/>
        </w:rPr>
      </w:pPr>
      <w:r w:rsidRPr="00B90508">
        <w:rPr>
          <w:rFonts w:eastAsiaTheme="minorEastAsia"/>
        </w:rPr>
        <w:t>Implementing strong programs so septic systems do not create pollution.</w:t>
      </w:r>
    </w:p>
    <w:p w14:paraId="0946B3E7" w14:textId="77777777" w:rsidR="00B90508" w:rsidRPr="00B90508" w:rsidRDefault="00B90508" w:rsidP="00B90508">
      <w:pPr>
        <w:numPr>
          <w:ilvl w:val="0"/>
          <w:numId w:val="50"/>
        </w:numPr>
        <w:spacing w:line="276" w:lineRule="auto"/>
        <w:contextualSpacing/>
        <w:rPr>
          <w:rFonts w:eastAsiaTheme="minorEastAsia"/>
        </w:rPr>
      </w:pPr>
      <w:r w:rsidRPr="00B90508">
        <w:rPr>
          <w:rFonts w:eastAsiaTheme="minorEastAsia"/>
        </w:rPr>
        <w:t>Reducing sources of pollution through choices in materials design and use.</w:t>
      </w:r>
    </w:p>
    <w:p w14:paraId="78704B81" w14:textId="77777777" w:rsidR="00B90508" w:rsidRPr="00B90508" w:rsidRDefault="00B90508" w:rsidP="00B90508">
      <w:pPr>
        <w:numPr>
          <w:ilvl w:val="0"/>
          <w:numId w:val="50"/>
        </w:numPr>
        <w:spacing w:line="276" w:lineRule="auto"/>
        <w:contextualSpacing/>
        <w:rPr>
          <w:rFonts w:eastAsiaTheme="minorEastAsia"/>
        </w:rPr>
      </w:pPr>
      <w:r w:rsidRPr="00B90508">
        <w:rPr>
          <w:rFonts w:eastAsia="Calibri"/>
        </w:rPr>
        <w:t>Collecting and treating urban stormwater to reduce pollutant loading, such as through stromwater retrofit actions and stormwater quality focused street sweeping.</w:t>
      </w:r>
    </w:p>
    <w:p w14:paraId="070D829C" w14:textId="77777777" w:rsidR="00B90508" w:rsidRPr="00B90508" w:rsidRDefault="00B90508" w:rsidP="00DB2B36">
      <w:pPr>
        <w:numPr>
          <w:ilvl w:val="0"/>
          <w:numId w:val="51"/>
        </w:numPr>
        <w:spacing w:line="276" w:lineRule="auto"/>
        <w:rPr>
          <w:rFonts w:eastAsiaTheme="minorEastAsia"/>
        </w:rPr>
      </w:pPr>
      <w:r w:rsidRPr="00B90508">
        <w:rPr>
          <w:rFonts w:eastAsiaTheme="minorEastAsia"/>
        </w:rPr>
        <w:t>Giving people information about ways they can reduce their individual contributions to pollution and supporting their pollution reduction actions.</w:t>
      </w:r>
    </w:p>
    <w:p w14:paraId="2C586022" w14:textId="77777777" w:rsidR="00B90508" w:rsidRPr="00B90508" w:rsidRDefault="00B90508" w:rsidP="00B90508">
      <w:pPr>
        <w:spacing w:line="276" w:lineRule="auto"/>
        <w:rPr>
          <w:rFonts w:eastAsiaTheme="minorEastAsia"/>
          <w:b/>
          <w:bCs/>
          <w:i/>
          <w:iCs/>
          <w:color w:val="2E74B5" w:themeColor="accent1" w:themeShade="BF"/>
        </w:rPr>
      </w:pPr>
      <w:r w:rsidRPr="00B90508">
        <w:rPr>
          <w:rFonts w:eastAsiaTheme="minorEastAsia"/>
          <w:b/>
          <w:bCs/>
          <w:i/>
          <w:iCs/>
          <w:color w:val="2E74B5" w:themeColor="accent1" w:themeShade="BF"/>
        </w:rPr>
        <w:t>[9/30 Reviewers: we need help describing the key existing programs for freshwater quality. We can cross reference the land management programs (e.g., critical areas) which will be described in the forest and freshwater habitat chapter but which also protect water quality. We also would like to describe key jurisdiction stormwater programs, including voluntary and incentive-based stormwater programs, stromwater education programs, and stormwater based street sweeping. What else should we describe? Also, we’re going to need help getting up-to-date concise information on these programs to include in the strategy. We ran out of time to get this information put together for this draft and we also very much want input on what level of detail / information would be useful in this document. Thank you!]</w:t>
      </w:r>
    </w:p>
    <w:p w14:paraId="556CBA70"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287" w:name="_l8v45eu41y1q" w:colFirst="0" w:colLast="0"/>
      <w:bookmarkEnd w:id="287"/>
      <w:r w:rsidRPr="00B90508">
        <w:rPr>
          <w:rFonts w:eastAsiaTheme="majorEastAsia" w:cstheme="minorHAnsi"/>
          <w:b/>
          <w:color w:val="595959" w:themeColor="text1" w:themeTint="A6"/>
          <w:sz w:val="24"/>
          <w:szCs w:val="28"/>
        </w:rPr>
        <w:t>AHSS Near Term Actions for Freshwater Water Quality</w:t>
      </w:r>
    </w:p>
    <w:p w14:paraId="47393C78" w14:textId="77777777" w:rsidR="00B90508" w:rsidRPr="00B90508" w:rsidRDefault="00B90508" w:rsidP="00B90508">
      <w:pPr>
        <w:spacing w:line="276" w:lineRule="auto"/>
        <w:rPr>
          <w:rFonts w:eastAsiaTheme="minorEastAsia"/>
        </w:rPr>
      </w:pPr>
      <w:r w:rsidRPr="00B90508">
        <w:rPr>
          <w:rFonts w:eastAsiaTheme="minorEastAsia"/>
        </w:rPr>
        <w:t>In the short term the Alliance has identified four priority actions focused on freshwater water quality. They are:</w:t>
      </w:r>
    </w:p>
    <w:p w14:paraId="79D1A301" w14:textId="77777777" w:rsidR="00B90508" w:rsidRPr="00B90508" w:rsidRDefault="00B90508" w:rsidP="00B90508">
      <w:pPr>
        <w:numPr>
          <w:ilvl w:val="0"/>
          <w:numId w:val="52"/>
        </w:numPr>
        <w:spacing w:line="276" w:lineRule="auto"/>
        <w:contextualSpacing/>
        <w:rPr>
          <w:rFonts w:eastAsiaTheme="minorEastAsia"/>
        </w:rPr>
      </w:pPr>
      <w:r w:rsidRPr="00B90508">
        <w:rPr>
          <w:rFonts w:eastAsia="Calibri"/>
          <w:b/>
        </w:rPr>
        <w:t>Water Quality Focused Street Sweeping in the City of Olympia</w:t>
      </w:r>
      <w:r w:rsidRPr="00B90508">
        <w:rPr>
          <w:rFonts w:eastAsia="Calibri"/>
        </w:rPr>
        <w:t>, an effort to expand an existing limited street sweeping program to city-wide with deliberate focus on water quality to reduce pollutants released to surface waters. GIS-based analysis will direct development and implementation of sweeper operating procedures &amp; routes. (Cost estimate $356,805)</w:t>
      </w:r>
    </w:p>
    <w:p w14:paraId="7A674E47" w14:textId="77777777" w:rsidR="00B90508" w:rsidRPr="00B90508" w:rsidRDefault="00B90508" w:rsidP="00B90508">
      <w:pPr>
        <w:numPr>
          <w:ilvl w:val="0"/>
          <w:numId w:val="52"/>
        </w:numPr>
        <w:spacing w:line="276" w:lineRule="auto"/>
        <w:contextualSpacing/>
        <w:rPr>
          <w:rFonts w:eastAsiaTheme="minorEastAsia"/>
        </w:rPr>
      </w:pPr>
      <w:r w:rsidRPr="00B90508">
        <w:rPr>
          <w:rFonts w:eastAsia="Calibri"/>
          <w:b/>
        </w:rPr>
        <w:t>K-12 stormwater field investigation programs in Mason County</w:t>
      </w:r>
      <w:r w:rsidRPr="00B90508">
        <w:rPr>
          <w:rFonts w:eastAsia="Calibri"/>
        </w:rPr>
        <w:t>, a project of the Mason Conservation District coordinate local partners to provide reliable field sites for place-based stormwater curricula with Mason County schools. (Cost estimate $187,569)</w:t>
      </w:r>
    </w:p>
    <w:p w14:paraId="6832EFCE" w14:textId="77777777" w:rsidR="00B90508" w:rsidRPr="00B90508" w:rsidRDefault="00B90508" w:rsidP="00B90508">
      <w:pPr>
        <w:numPr>
          <w:ilvl w:val="0"/>
          <w:numId w:val="52"/>
        </w:numPr>
        <w:spacing w:line="276" w:lineRule="auto"/>
        <w:contextualSpacing/>
        <w:rPr>
          <w:rFonts w:eastAsiaTheme="minorEastAsia"/>
        </w:rPr>
      </w:pPr>
      <w:r w:rsidRPr="00B90508">
        <w:rPr>
          <w:rFonts w:eastAsia="Calibri"/>
          <w:b/>
        </w:rPr>
        <w:t>Washington State University Stormwater Stewards</w:t>
      </w:r>
      <w:r w:rsidRPr="00B90508">
        <w:rPr>
          <w:rFonts w:eastAsia="Calibri"/>
        </w:rPr>
        <w:t>, a capacity-building program in which capable, committed, and well-trained citizen volunteers provide peer-to-peer technical assistance to other residents seeking opportunities to manage and treat polluted runoff on their home or small-commercial sites. (Cost estimate $299,628)</w:t>
      </w:r>
    </w:p>
    <w:p w14:paraId="05268EFA" w14:textId="77777777" w:rsidR="00B90508" w:rsidRPr="00B90508" w:rsidRDefault="00B90508" w:rsidP="00DB2B36">
      <w:pPr>
        <w:numPr>
          <w:ilvl w:val="0"/>
          <w:numId w:val="52"/>
        </w:numPr>
        <w:spacing w:line="276" w:lineRule="auto"/>
        <w:rPr>
          <w:rFonts w:eastAsiaTheme="minorEastAsia"/>
        </w:rPr>
      </w:pPr>
      <w:r w:rsidRPr="00B90508">
        <w:rPr>
          <w:rFonts w:eastAsia="Calibri"/>
          <w:b/>
        </w:rPr>
        <w:t>Clover Creek Water Quality Improvements</w:t>
      </w:r>
      <w:r w:rsidRPr="00B90508">
        <w:rPr>
          <w:rFonts w:eastAsia="Calibri"/>
        </w:rPr>
        <w:t xml:space="preserve">, Clover Creek near Brookdale road received the lowest marks for water quality in the Pierce County Surface Water Report Card. This project </w:t>
      </w:r>
      <w:r w:rsidRPr="00B90508">
        <w:rPr>
          <w:rFonts w:eastAsia="Calibri"/>
        </w:rPr>
        <w:lastRenderedPageBreak/>
        <w:t>would retrofit two Clover Creek storm water outfalls with filter devices to improve water quality. (Cost estimate $600,000).</w:t>
      </w:r>
    </w:p>
    <w:p w14:paraId="3347B7D5"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88" w:name="_fpmrj6ptmkef" w:colFirst="0" w:colLast="0"/>
      <w:bookmarkStart w:id="289" w:name="_Toc463000021"/>
      <w:bookmarkEnd w:id="288"/>
      <w:r w:rsidRPr="00B90508">
        <w:rPr>
          <w:rFonts w:asciiTheme="majorHAnsi" w:eastAsiaTheme="majorEastAsia" w:hAnsiTheme="majorHAnsi" w:cstheme="majorBidi"/>
          <w:color w:val="2B5A8E"/>
          <w:sz w:val="32"/>
          <w:szCs w:val="32"/>
          <w:u w:color="33CC33"/>
        </w:rPr>
        <w:t>Marine Water Quality Baseline and Status</w:t>
      </w:r>
      <w:bookmarkEnd w:id="289"/>
    </w:p>
    <w:p w14:paraId="616423E5" w14:textId="77777777" w:rsidR="00B90508" w:rsidRPr="00B90508" w:rsidRDefault="00B90508" w:rsidP="00B90508">
      <w:pPr>
        <w:spacing w:line="276" w:lineRule="auto"/>
        <w:rPr>
          <w:rFonts w:eastAsiaTheme="minorEastAsia"/>
        </w:rPr>
      </w:pPr>
      <w:r w:rsidRPr="00B90508">
        <w:rPr>
          <w:rFonts w:eastAsiaTheme="minorEastAsia"/>
        </w:rPr>
        <w:t xml:space="preserve">To understand marine water quality in South Sound, the Alliance will rely primarily on state sampling that is conducted on an annual basis. In addition, local pollution identification (PIC) programs will be used to monitor and implement actions to reduce nonpoint source pollution primarily on shellfish beds (see Shellfish chapter). </w:t>
      </w:r>
    </w:p>
    <w:p w14:paraId="59C1E6E6"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State-wide Monitoring – Department of Ecology</w:t>
      </w:r>
    </w:p>
    <w:p w14:paraId="7EC3F62B" w14:textId="77777777" w:rsidR="00B90508" w:rsidRPr="00B90508" w:rsidRDefault="00B90508" w:rsidP="00B90508">
      <w:pPr>
        <w:spacing w:line="276" w:lineRule="auto"/>
        <w:rPr>
          <w:rFonts w:eastAsiaTheme="minorEastAsia"/>
        </w:rPr>
      </w:pPr>
      <w:r w:rsidRPr="00B90508">
        <w:rPr>
          <w:rFonts w:eastAsiaTheme="minorEastAsia"/>
        </w:rPr>
        <w:t>Monitoring of marine water quality is ongoing in stations throughout the South Sound by Ecology (</w:t>
      </w:r>
      <w:hyperlink r:id="rId132">
        <w:r w:rsidRPr="00B90508">
          <w:rPr>
            <w:rFonts w:eastAsiaTheme="minorEastAsia"/>
            <w:color w:val="0563C1"/>
            <w:u w:val="single"/>
          </w:rPr>
          <w:t>link</w:t>
        </w:r>
      </w:hyperlink>
      <w:r w:rsidRPr="00B90508">
        <w:rPr>
          <w:rFonts w:eastAsiaTheme="minorEastAsia"/>
        </w:rPr>
        <w:t xml:space="preserve">). </w:t>
      </w:r>
    </w:p>
    <w:p w14:paraId="3EC7D00C" w14:textId="77777777" w:rsidR="00B90508" w:rsidRPr="00B90508" w:rsidRDefault="00B90508" w:rsidP="00B90508">
      <w:pPr>
        <w:spacing w:line="276" w:lineRule="auto"/>
        <w:rPr>
          <w:rFonts w:eastAsiaTheme="minorEastAsia"/>
        </w:rPr>
      </w:pPr>
      <w:r w:rsidRPr="00B90508">
        <w:rPr>
          <w:rFonts w:eastAsiaTheme="minorEastAsia"/>
        </w:rPr>
        <w:t xml:space="preserve">Ecology’s program is the major source of data for the 303(d) assessment and provides long term status and trends data on water quality conditions. Like the freshwater monitoring program, Ecology uses an index called the Marine Water Condition Index (MWCI) to communicate conditions for marine water bodies. The index aggregates physical, chemical, and biological data collected from moorings, ships, planes, and satellite imagery. MWCI scores range from -50 to +50 points, with higher numbers indicating better water quality. There are seven individual monitoring stations in the South Sound. </w:t>
      </w:r>
    </w:p>
    <w:p w14:paraId="12854317" w14:textId="77777777" w:rsidR="00B90508" w:rsidRPr="00B90508" w:rsidRDefault="00B90508" w:rsidP="00B90508">
      <w:pPr>
        <w:spacing w:line="276" w:lineRule="auto"/>
        <w:jc w:val="center"/>
        <w:rPr>
          <w:rFonts w:eastAsiaTheme="minorEastAsia"/>
        </w:rPr>
      </w:pPr>
      <w:r w:rsidRPr="00B90508">
        <w:rPr>
          <w:rFonts w:eastAsiaTheme="minorEastAsia"/>
          <w:noProof/>
        </w:rPr>
        <w:drawing>
          <wp:inline distT="0" distB="0" distL="0" distR="0" wp14:anchorId="09C50B1F" wp14:editId="6748661F">
            <wp:extent cx="3535754" cy="4151121"/>
            <wp:effectExtent l="0" t="0" r="0" b="0"/>
            <wp:docPr id="250" name="image09.png"/>
            <wp:cNvGraphicFramePr/>
            <a:graphic xmlns:a="http://schemas.openxmlformats.org/drawingml/2006/main">
              <a:graphicData uri="http://schemas.openxmlformats.org/drawingml/2006/picture">
                <pic:pic xmlns:pic="http://schemas.openxmlformats.org/drawingml/2006/picture">
                  <pic:nvPicPr>
                    <pic:cNvPr id="0" name="image09.png"/>
                    <pic:cNvPicPr preferRelativeResize="0"/>
                  </pic:nvPicPr>
                  <pic:blipFill>
                    <a:blip r:embed="rId133"/>
                    <a:srcRect/>
                    <a:stretch>
                      <a:fillRect/>
                    </a:stretch>
                  </pic:blipFill>
                  <pic:spPr>
                    <a:xfrm>
                      <a:off x="0" y="0"/>
                      <a:ext cx="3535754" cy="4151121"/>
                    </a:xfrm>
                    <a:prstGeom prst="rect">
                      <a:avLst/>
                    </a:prstGeom>
                    <a:ln/>
                  </pic:spPr>
                </pic:pic>
              </a:graphicData>
            </a:graphic>
          </wp:inline>
        </w:drawing>
      </w:r>
    </w:p>
    <w:p w14:paraId="1D6B7DF5"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Figure X. Long-term Marine Water Quality Monitoring </w:t>
      </w:r>
      <w:r w:rsidRPr="00B90508">
        <w:rPr>
          <w:rFonts w:ascii="Calibri" w:eastAsia="Calibri" w:hAnsi="Calibri" w:cs="Calibri"/>
          <w:b/>
          <w:sz w:val="18"/>
        </w:rPr>
        <w:br/>
        <w:t>Program Station Locations (Department of Ecology)</w:t>
      </w:r>
    </w:p>
    <w:p w14:paraId="3FCBE71C" w14:textId="77777777" w:rsidR="00B90508" w:rsidRPr="00B90508" w:rsidRDefault="00B90508" w:rsidP="00B90508">
      <w:pPr>
        <w:spacing w:line="276" w:lineRule="auto"/>
        <w:rPr>
          <w:rFonts w:eastAsiaTheme="minorEastAsia"/>
        </w:rPr>
      </w:pPr>
      <w:r w:rsidRPr="00B90508">
        <w:rPr>
          <w:rFonts w:eastAsiaTheme="minorEastAsia"/>
        </w:rPr>
        <w:lastRenderedPageBreak/>
        <w:t>In 2014, a composite score of all the South Sound stations received a MWCI score of -2. For individual stations, both Oakland Bay and Budd Inlet received a -12 score. Over time, MWCI scores for the South Sound between 1999 and 2014 indicate the area has experienced a negative change and suggest that marine water quality has gone from good to fair in the past 15 years. Both the Budd Inlet and Oakland Bay stations show negative trends over the period. However, as a whole, the six stations in the Sound Sound show an “improving tendency” as defined by the MWCI. The chart below shows the index scores over the last 15 years.</w:t>
      </w:r>
    </w:p>
    <w:p w14:paraId="0C6E057A" w14:textId="77777777" w:rsidR="00B90508" w:rsidRPr="00B90508" w:rsidRDefault="00B90508" w:rsidP="00B90508">
      <w:pPr>
        <w:spacing w:line="276" w:lineRule="auto"/>
        <w:jc w:val="center"/>
        <w:rPr>
          <w:rFonts w:eastAsiaTheme="minorEastAsia"/>
        </w:rPr>
      </w:pPr>
      <w:r w:rsidRPr="00B90508">
        <w:rPr>
          <w:rFonts w:eastAsiaTheme="minorEastAsia"/>
          <w:noProof/>
        </w:rPr>
        <w:drawing>
          <wp:inline distT="0" distB="0" distL="0" distR="0" wp14:anchorId="5F82A680" wp14:editId="323A6447">
            <wp:extent cx="4797373" cy="2653931"/>
            <wp:effectExtent l="0" t="0" r="0" b="0"/>
            <wp:docPr id="251" name="image08.png"/>
            <wp:cNvGraphicFramePr/>
            <a:graphic xmlns:a="http://schemas.openxmlformats.org/drawingml/2006/main">
              <a:graphicData uri="http://schemas.openxmlformats.org/drawingml/2006/picture">
                <pic:pic xmlns:pic="http://schemas.openxmlformats.org/drawingml/2006/picture">
                  <pic:nvPicPr>
                    <pic:cNvPr id="0" name="image08.png"/>
                    <pic:cNvPicPr preferRelativeResize="0"/>
                  </pic:nvPicPr>
                  <pic:blipFill>
                    <a:blip r:embed="rId134"/>
                    <a:srcRect/>
                    <a:stretch>
                      <a:fillRect/>
                    </a:stretch>
                  </pic:blipFill>
                  <pic:spPr>
                    <a:xfrm>
                      <a:off x="0" y="0"/>
                      <a:ext cx="4797373" cy="2653931"/>
                    </a:xfrm>
                    <a:prstGeom prst="rect">
                      <a:avLst/>
                    </a:prstGeom>
                    <a:ln/>
                  </pic:spPr>
                </pic:pic>
              </a:graphicData>
            </a:graphic>
          </wp:inline>
        </w:drawing>
      </w:r>
    </w:p>
    <w:p w14:paraId="73D4C6CD"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Figure X. Marine Water Condition Index Scores 1999-2014 </w:t>
      </w:r>
      <w:r w:rsidRPr="00B90508">
        <w:rPr>
          <w:rFonts w:ascii="Calibri" w:eastAsia="Calibri" w:hAnsi="Calibri" w:cs="Calibri"/>
          <w:b/>
          <w:sz w:val="18"/>
        </w:rPr>
        <w:br/>
        <w:t>(Marine Water Quality Monitoring Program, Department of Ecology)</w:t>
      </w:r>
    </w:p>
    <w:p w14:paraId="44DB8A21"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State-wide Monitoring – Department of Health</w:t>
      </w:r>
    </w:p>
    <w:p w14:paraId="354EDDF2" w14:textId="77777777" w:rsidR="00B90508" w:rsidRPr="00B90508" w:rsidRDefault="00B90508" w:rsidP="00B90508">
      <w:pPr>
        <w:spacing w:line="276" w:lineRule="auto"/>
        <w:rPr>
          <w:rFonts w:eastAsiaTheme="minorEastAsia"/>
        </w:rPr>
      </w:pPr>
      <w:r w:rsidRPr="00B90508">
        <w:rPr>
          <w:rFonts w:eastAsiaTheme="minorEastAsia"/>
        </w:rPr>
        <w:t>The state Department of Health (DOH) also monitors marine water quality throughout the South Sound for public health safety (</w:t>
      </w:r>
      <w:hyperlink r:id="rId135">
        <w:r w:rsidRPr="00B90508">
          <w:rPr>
            <w:rFonts w:eastAsiaTheme="minorEastAsia"/>
            <w:color w:val="2B5A8E"/>
            <w:u w:val="single"/>
          </w:rPr>
          <w:t>link</w:t>
        </w:r>
      </w:hyperlink>
      <w:r w:rsidRPr="00B90508">
        <w:rPr>
          <w:rFonts w:eastAsiaTheme="minorEastAsia"/>
        </w:rPr>
        <w:t xml:space="preserve">). DOH’s Shellfish Program regularly monitors marine waters and shellfish for biotoxins, pathogens, and other contaminants to make sure they are safe to eat. The BEACH Program samples water quality at recreational beaches and reports closures and advisories. </w:t>
      </w:r>
    </w:p>
    <w:p w14:paraId="2DA54B1B"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r w:rsidRPr="00B90508">
        <w:rPr>
          <w:rFonts w:eastAsiaTheme="majorEastAsia" w:cstheme="minorHAnsi"/>
          <w:b/>
          <w:color w:val="595959" w:themeColor="text1" w:themeTint="A6"/>
          <w:sz w:val="24"/>
          <w:szCs w:val="28"/>
        </w:rPr>
        <w:t>Local Monitoring</w:t>
      </w:r>
    </w:p>
    <w:p w14:paraId="393F1B82" w14:textId="77777777" w:rsidR="00B90508" w:rsidRPr="00B90508" w:rsidRDefault="00B90508" w:rsidP="00B90508">
      <w:pPr>
        <w:spacing w:line="276" w:lineRule="auto"/>
        <w:rPr>
          <w:rFonts w:eastAsiaTheme="minorEastAsia"/>
          <w:b/>
          <w:bCs/>
          <w:i/>
          <w:iCs/>
          <w:color w:val="2E74B5" w:themeColor="accent1" w:themeShade="BF"/>
        </w:rPr>
      </w:pPr>
      <w:r w:rsidRPr="00B90508">
        <w:rPr>
          <w:rFonts w:eastAsiaTheme="minorEastAsia"/>
          <w:b/>
          <w:bCs/>
          <w:i/>
          <w:iCs/>
          <w:color w:val="2E74B5" w:themeColor="accent1" w:themeShade="BF"/>
        </w:rPr>
        <w:t>[9/30 Reviewers: we need help better describing local monitoring efforts – and results – for marine water quality. What would you like us to include here? Thank you!]</w:t>
      </w:r>
    </w:p>
    <w:p w14:paraId="450F15C1"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90" w:name="_Toc463000022"/>
      <w:r w:rsidRPr="00B90508">
        <w:rPr>
          <w:rFonts w:asciiTheme="majorHAnsi" w:eastAsiaTheme="majorEastAsia" w:hAnsiTheme="majorHAnsi" w:cstheme="majorBidi"/>
          <w:color w:val="2B5A8E"/>
          <w:sz w:val="32"/>
          <w:szCs w:val="32"/>
          <w:u w:color="33CC33"/>
        </w:rPr>
        <w:t>Strategies, Existing Programs, and Actions</w:t>
      </w:r>
      <w:bookmarkEnd w:id="290"/>
    </w:p>
    <w:p w14:paraId="6EC26A8C" w14:textId="77777777" w:rsidR="00B90508" w:rsidRPr="00B90508" w:rsidRDefault="00B90508" w:rsidP="00B90508">
      <w:pPr>
        <w:spacing w:line="276" w:lineRule="auto"/>
        <w:rPr>
          <w:rFonts w:eastAsiaTheme="minorEastAsia"/>
        </w:rPr>
      </w:pPr>
      <w:r w:rsidRPr="00B90508">
        <w:rPr>
          <w:rFonts w:eastAsiaTheme="minorEastAsia"/>
        </w:rPr>
        <w:t>Strategies to maintain and improve marine water quality are based on the major threats to water quality and include:</w:t>
      </w:r>
    </w:p>
    <w:p w14:paraId="337E6A1B" w14:textId="77777777" w:rsidR="00B90508" w:rsidRPr="00B90508" w:rsidRDefault="00B90508" w:rsidP="00B90508">
      <w:pPr>
        <w:numPr>
          <w:ilvl w:val="0"/>
          <w:numId w:val="53"/>
        </w:numPr>
        <w:spacing w:line="276" w:lineRule="auto"/>
        <w:contextualSpacing/>
        <w:rPr>
          <w:rFonts w:eastAsiaTheme="minorEastAsia"/>
        </w:rPr>
      </w:pPr>
      <w:r w:rsidRPr="00B90508">
        <w:rPr>
          <w:rFonts w:eastAsia="Calibri"/>
        </w:rPr>
        <w:t>Protecting marine shorelines.</w:t>
      </w:r>
    </w:p>
    <w:p w14:paraId="13B9615B" w14:textId="77777777" w:rsidR="00B90508" w:rsidRPr="00B90508" w:rsidRDefault="00B90508" w:rsidP="00B90508">
      <w:pPr>
        <w:numPr>
          <w:ilvl w:val="0"/>
          <w:numId w:val="53"/>
        </w:numPr>
        <w:spacing w:line="276" w:lineRule="auto"/>
        <w:contextualSpacing/>
        <w:rPr>
          <w:rFonts w:eastAsiaTheme="minorEastAsia"/>
        </w:rPr>
      </w:pPr>
      <w:r w:rsidRPr="00B90508">
        <w:rPr>
          <w:rFonts w:eastAsia="Calibri"/>
        </w:rPr>
        <w:t>Concentrating growth in urban growth areas to limit the amount of new impervious surfaces created.</w:t>
      </w:r>
    </w:p>
    <w:p w14:paraId="49D8A7D7" w14:textId="77777777" w:rsidR="00B90508" w:rsidRPr="00B90508" w:rsidRDefault="00B90508" w:rsidP="00B90508">
      <w:pPr>
        <w:numPr>
          <w:ilvl w:val="0"/>
          <w:numId w:val="53"/>
        </w:numPr>
        <w:spacing w:line="276" w:lineRule="auto"/>
        <w:contextualSpacing/>
        <w:rPr>
          <w:rFonts w:eastAsiaTheme="minorEastAsia"/>
        </w:rPr>
      </w:pPr>
      <w:r w:rsidRPr="00B90508">
        <w:rPr>
          <w:rFonts w:eastAsia="Calibri"/>
        </w:rPr>
        <w:lastRenderedPageBreak/>
        <w:t>Collecting and treating urban stormwater to reduce pollutant loading.</w:t>
      </w:r>
    </w:p>
    <w:p w14:paraId="17ABBD66" w14:textId="77777777" w:rsidR="00B90508" w:rsidRPr="00B90508" w:rsidRDefault="00B90508" w:rsidP="00B90508">
      <w:pPr>
        <w:numPr>
          <w:ilvl w:val="0"/>
          <w:numId w:val="53"/>
        </w:numPr>
        <w:spacing w:line="276" w:lineRule="auto"/>
        <w:contextualSpacing/>
        <w:rPr>
          <w:rFonts w:eastAsiaTheme="minorEastAsia"/>
        </w:rPr>
      </w:pPr>
      <w:r w:rsidRPr="00B90508">
        <w:rPr>
          <w:rFonts w:eastAsia="Calibri"/>
        </w:rPr>
        <w:t>Programs to identify and correct sources of pollution (PICC programs).</w:t>
      </w:r>
    </w:p>
    <w:p w14:paraId="328DA0D0" w14:textId="77777777" w:rsidR="00B90508" w:rsidRPr="00B90508" w:rsidRDefault="00B90508" w:rsidP="00DB2B36">
      <w:pPr>
        <w:numPr>
          <w:ilvl w:val="0"/>
          <w:numId w:val="53"/>
        </w:numPr>
        <w:spacing w:line="276" w:lineRule="auto"/>
        <w:rPr>
          <w:rFonts w:eastAsiaTheme="minorEastAsia"/>
        </w:rPr>
      </w:pPr>
      <w:r w:rsidRPr="00B90508">
        <w:rPr>
          <w:rFonts w:eastAsia="Calibri"/>
        </w:rPr>
        <w:t>Programs to ensure that septic systems do not contaminate marine waters.</w:t>
      </w:r>
    </w:p>
    <w:p w14:paraId="7E5F0C39" w14:textId="77777777" w:rsidR="00B90508" w:rsidRPr="00B90508" w:rsidRDefault="00B90508" w:rsidP="00B90508">
      <w:pPr>
        <w:spacing w:line="276" w:lineRule="auto"/>
        <w:rPr>
          <w:rFonts w:eastAsiaTheme="minorEastAsia"/>
          <w:b/>
          <w:bCs/>
          <w:i/>
          <w:iCs/>
          <w:color w:val="2E74B5" w:themeColor="accent1" w:themeShade="BF"/>
        </w:rPr>
      </w:pPr>
      <w:r w:rsidRPr="00B90508">
        <w:rPr>
          <w:rFonts w:eastAsiaTheme="minorEastAsia"/>
          <w:b/>
          <w:bCs/>
          <w:i/>
          <w:iCs/>
          <w:color w:val="2E74B5" w:themeColor="accent1" w:themeShade="BF"/>
        </w:rPr>
        <w:t>[9/30 Reviewers: we need help describing the key existing programs for marine water quality. We can cross reference the land management programs (e.g., shoreline master programs) which will be described in the marine nearshore chapter but which also protect water quality. We also would like to describe key jurisdiction programs, including voluntary and incentive-based stormwater programs, stromwater education programs, PICC programs, and others. What else should we describe? Also, we’re going to need help getting up-to-date concise information on these programs to include in the strategy. We ran out of time to get this information put together for this draft and we also very much want input on what level of detail / information would be useful in this document. Thank you!]</w:t>
      </w:r>
    </w:p>
    <w:p w14:paraId="1F64DD8C"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291" w:name="_47cu44e8xrkw" w:colFirst="0" w:colLast="0"/>
      <w:bookmarkEnd w:id="291"/>
      <w:r w:rsidRPr="00B90508">
        <w:rPr>
          <w:rFonts w:eastAsiaTheme="majorEastAsia" w:cstheme="minorHAnsi"/>
          <w:b/>
          <w:color w:val="595959" w:themeColor="text1" w:themeTint="A6"/>
          <w:sz w:val="24"/>
          <w:szCs w:val="28"/>
        </w:rPr>
        <w:t>AHSS Near Term Actions for Marine Water Quality</w:t>
      </w:r>
    </w:p>
    <w:p w14:paraId="7B93FAA1" w14:textId="77777777" w:rsidR="00B90508" w:rsidRPr="00B90508" w:rsidRDefault="00B90508" w:rsidP="00B90508">
      <w:pPr>
        <w:spacing w:line="276" w:lineRule="auto"/>
        <w:rPr>
          <w:rFonts w:eastAsiaTheme="minorEastAsia"/>
        </w:rPr>
      </w:pPr>
      <w:r w:rsidRPr="00B90508">
        <w:rPr>
          <w:rFonts w:eastAsiaTheme="minorEastAsia"/>
        </w:rPr>
        <w:t>In the short term the Alliance has identified two priority actions focused on marine water quality. They are:</w:t>
      </w:r>
    </w:p>
    <w:p w14:paraId="7702EA38" w14:textId="77777777" w:rsidR="00B90508" w:rsidRPr="00B90508" w:rsidRDefault="00B90508" w:rsidP="00B90508">
      <w:pPr>
        <w:numPr>
          <w:ilvl w:val="0"/>
          <w:numId w:val="54"/>
        </w:numPr>
        <w:spacing w:line="276" w:lineRule="auto"/>
        <w:contextualSpacing/>
        <w:rPr>
          <w:rFonts w:eastAsiaTheme="minorEastAsia"/>
        </w:rPr>
      </w:pPr>
      <w:r w:rsidRPr="00B90508">
        <w:rPr>
          <w:rFonts w:eastAsia="Calibri"/>
          <w:b/>
        </w:rPr>
        <w:t>South Sound shellfish recovery</w:t>
      </w:r>
      <w:r w:rsidRPr="00B90508">
        <w:rPr>
          <w:rFonts w:eastAsia="Calibri"/>
        </w:rPr>
        <w:t>, an effort to implement closure response plans associated with Shellfish Protection Districts throughout South Sound at Burley Lagoon, Nisqually Reach, Henderson Inlet, and Filucy, Rocky, Vaughn and Oakland Bays. (Cost estimate $5,694,900)</w:t>
      </w:r>
    </w:p>
    <w:p w14:paraId="45E070BC" w14:textId="77777777" w:rsidR="00B90508" w:rsidRPr="00B90508" w:rsidRDefault="00B90508" w:rsidP="00DB2B36">
      <w:pPr>
        <w:numPr>
          <w:ilvl w:val="0"/>
          <w:numId w:val="54"/>
        </w:numPr>
        <w:spacing w:line="276" w:lineRule="auto"/>
        <w:rPr>
          <w:rFonts w:eastAsiaTheme="minorEastAsia"/>
        </w:rPr>
      </w:pPr>
      <w:r w:rsidRPr="00B90508">
        <w:rPr>
          <w:rFonts w:eastAsia="Calibri"/>
          <w:b/>
        </w:rPr>
        <w:t>Thurston County urban septic to sewer conversion</w:t>
      </w:r>
      <w:r w:rsidRPr="00B90508">
        <w:rPr>
          <w:rFonts w:eastAsia="Calibri"/>
        </w:rPr>
        <w:t>, an effort to protect shellfish growing areas that may be impacted by leaking urban septic systems, which includes public outreach, code development, policies, and city-specific implementation plans to adopt the conversion program in Lacey, Tumwater, and Olympia. (Cost estimate $180,000 for phase 1).</w:t>
      </w:r>
    </w:p>
    <w:p w14:paraId="4E51C904"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92" w:name="_srtn02ufs0qh" w:colFirst="0" w:colLast="0"/>
      <w:bookmarkStart w:id="293" w:name="_Toc463000023"/>
      <w:bookmarkEnd w:id="292"/>
      <w:r w:rsidRPr="00B90508">
        <w:rPr>
          <w:rFonts w:asciiTheme="majorHAnsi" w:eastAsiaTheme="majorEastAsia" w:hAnsiTheme="majorHAnsi" w:cstheme="majorBidi"/>
          <w:color w:val="2B5A8E"/>
          <w:sz w:val="32"/>
          <w:szCs w:val="32"/>
          <w:u w:color="33CC33"/>
        </w:rPr>
        <w:t>Contribution to PSP Vital Signs</w:t>
      </w:r>
      <w:bookmarkEnd w:id="293"/>
    </w:p>
    <w:p w14:paraId="32998DCC" w14:textId="77777777" w:rsidR="00B90508" w:rsidRPr="00B90508" w:rsidRDefault="00B90508" w:rsidP="00B90508">
      <w:pPr>
        <w:spacing w:line="276" w:lineRule="auto"/>
        <w:rPr>
          <w:rFonts w:eastAsiaTheme="minorEastAsia"/>
        </w:rPr>
      </w:pPr>
      <w:r w:rsidRPr="00B90508">
        <w:rPr>
          <w:rFonts w:eastAsiaTheme="minorEastAsia"/>
        </w:rPr>
        <w:t>As a South Sound focus area, water quality is connected to multiple PSP water quality Vital Signs: Marine water quality, freshwater quality, marine sediment quality, toxics in fish, shellfish beds, onsite sewage, and drinking water. Water quality is also connected with PSP Vital Signs for species and food web, including Pacific Herring, Orcas, and Chinook salmon.</w:t>
      </w:r>
    </w:p>
    <w:p w14:paraId="47E1A1CD" w14:textId="77777777" w:rsidR="00B90508" w:rsidRPr="00B90508" w:rsidRDefault="00B90508" w:rsidP="00B90508">
      <w:pPr>
        <w:spacing w:after="120" w:line="276" w:lineRule="auto"/>
        <w:rPr>
          <w:rFonts w:eastAsiaTheme="minorEastAsia"/>
        </w:rPr>
        <w:sectPr w:rsidR="00B90508" w:rsidRPr="00B90508" w:rsidSect="00B90508">
          <w:headerReference w:type="default" r:id="rId136"/>
          <w:pgSz w:w="12240" w:h="15840"/>
          <w:pgMar w:top="1440" w:right="1440" w:bottom="1440" w:left="1440" w:header="720" w:footer="720" w:gutter="0"/>
          <w:cols w:space="720"/>
        </w:sectPr>
      </w:pPr>
    </w:p>
    <w:p w14:paraId="36091562"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294" w:name="_gfzilhkkcb65" w:colFirst="0" w:colLast="0"/>
      <w:bookmarkStart w:id="295" w:name="_Toc463000024"/>
      <w:bookmarkEnd w:id="294"/>
      <w:r w:rsidRPr="00B90508">
        <w:rPr>
          <w:rFonts w:eastAsiaTheme="majorEastAsia" w:cstheme="minorHAnsi"/>
          <w:b/>
          <w:color w:val="FFFFFF" w:themeColor="background1"/>
          <w:sz w:val="36"/>
          <w:szCs w:val="36"/>
        </w:rPr>
        <w:lastRenderedPageBreak/>
        <w:t>Expansion of Healthy, Productive Shellfish Populations and Harvest</w:t>
      </w:r>
      <w:bookmarkEnd w:id="295"/>
    </w:p>
    <w:p w14:paraId="15861743"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96" w:name="_h1u7jfpazmzj" w:colFirst="0" w:colLast="0"/>
      <w:bookmarkStart w:id="297" w:name="_Toc463000025"/>
      <w:bookmarkEnd w:id="296"/>
      <w:r w:rsidRPr="00B90508">
        <w:rPr>
          <w:rFonts w:asciiTheme="majorHAnsi" w:eastAsiaTheme="majorEastAsia" w:hAnsiTheme="majorHAnsi" w:cstheme="majorBidi"/>
          <w:color w:val="2B5A8E"/>
          <w:sz w:val="32"/>
          <w:szCs w:val="32"/>
          <w:u w:color="33CC33"/>
        </w:rPr>
        <w:t>Background</w:t>
      </w:r>
      <w:bookmarkEnd w:id="297"/>
    </w:p>
    <w:p w14:paraId="543723D4" w14:textId="77777777" w:rsidR="00B90508" w:rsidRPr="00B90508" w:rsidRDefault="00B90508" w:rsidP="00B90508">
      <w:pPr>
        <w:spacing w:line="276" w:lineRule="auto"/>
        <w:rPr>
          <w:rFonts w:eastAsiaTheme="minorEastAsia"/>
        </w:rPr>
      </w:pPr>
      <w:r w:rsidRPr="00B90508">
        <w:rPr>
          <w:rFonts w:ascii="Calibri" w:eastAsia="Calibri" w:hAnsi="Calibri" w:cs="Calibri"/>
        </w:rPr>
        <w:t xml:space="preserve">Harvesting of shellfish in the South Sound has a long history, beginning with the Squaxin Island Tribe and Nisqually Tribe which continue to rely on shellfish for food and culturally. In the present day there also are significant recreational harvests and larger-scale commercial production in the South Sound. In additional to economic and cultural benefits from harvest, shellfish -- whether harvestable or not -- provide significant water quality benefits. </w:t>
      </w:r>
    </w:p>
    <w:p w14:paraId="62666896"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298" w:name="_avi4ds595jp7" w:colFirst="0" w:colLast="0"/>
      <w:bookmarkStart w:id="299" w:name="_Toc463000026"/>
      <w:bookmarkEnd w:id="298"/>
      <w:r w:rsidRPr="00B90508">
        <w:rPr>
          <w:rFonts w:asciiTheme="majorHAnsi" w:eastAsiaTheme="majorEastAsia" w:hAnsiTheme="majorHAnsi" w:cstheme="majorBidi"/>
          <w:color w:val="2B5A8E"/>
          <w:sz w:val="32"/>
          <w:szCs w:val="32"/>
          <w:u w:color="33CC33"/>
        </w:rPr>
        <w:t>Baseline &amp; Status</w:t>
      </w:r>
      <w:bookmarkEnd w:id="299"/>
    </w:p>
    <w:p w14:paraId="0DC723E7" w14:textId="77777777" w:rsidR="00B90508" w:rsidRPr="00B90508" w:rsidRDefault="00B90508" w:rsidP="00B90508">
      <w:pPr>
        <w:spacing w:line="276" w:lineRule="auto"/>
        <w:rPr>
          <w:rFonts w:eastAsiaTheme="minorEastAsia"/>
        </w:rPr>
      </w:pPr>
      <w:r w:rsidRPr="00B90508">
        <w:rPr>
          <w:rFonts w:ascii="Calibri" w:eastAsia="Calibri" w:hAnsi="Calibri" w:cs="Calibri"/>
        </w:rPr>
        <w:t xml:space="preserve">Overall, the Alliance aims to expand healthy, productive shellfish populations and shellfish harvest. There are approximately 40,000 acres of commercial and recreational shellfish beds in South Sound, and nearly 80% of these beds are open for harvest (both approved and conditional). However, pollution from stormwater runoff and failing on-site sewage systems impair marine water quality and can lead to frequent harvest restrictions and closures of shellfish beds. Portions of the beaches near the head of Henderson Bay, Nisqually and the eastern shoreline near the cities of Steilacoom, University Place, and Tacoma are closed due to non-point source pollution, such as that from stormwater runoff and failing septics. Shellfish growing areas are monitored for water quality by the Washington State Department of Health and classified based on monitoring results. If water quality has improved in a shellfish growing area then it has the potential to be upgraded in classification, allowing for greater accessibility. </w:t>
      </w:r>
    </w:p>
    <w:p w14:paraId="2BB90D7E" w14:textId="77777777" w:rsidR="00B90508" w:rsidRPr="00B90508" w:rsidRDefault="00B90508" w:rsidP="00B90508">
      <w:pPr>
        <w:spacing w:line="276" w:lineRule="auto"/>
        <w:rPr>
          <w:rFonts w:eastAsiaTheme="minorEastAsia"/>
        </w:rPr>
      </w:pPr>
      <w:r w:rsidRPr="00B90508">
        <w:rPr>
          <w:rFonts w:eastAsiaTheme="minorEastAsia"/>
          <w:noProof/>
        </w:rPr>
        <w:lastRenderedPageBreak/>
        <w:drawing>
          <wp:inline distT="114300" distB="114300" distL="114300" distR="114300" wp14:anchorId="0525C13A" wp14:editId="147281D9">
            <wp:extent cx="5943600" cy="4711700"/>
            <wp:effectExtent l="12700" t="12700" r="12700" b="12700"/>
            <wp:docPr id="252" name="image01.png"/>
            <wp:cNvGraphicFramePr/>
            <a:graphic xmlns:a="http://schemas.openxmlformats.org/drawingml/2006/main">
              <a:graphicData uri="http://schemas.openxmlformats.org/drawingml/2006/picture">
                <pic:pic xmlns:pic="http://schemas.openxmlformats.org/drawingml/2006/picture">
                  <pic:nvPicPr>
                    <pic:cNvPr id="0" name="image01.png"/>
                    <pic:cNvPicPr preferRelativeResize="0"/>
                  </pic:nvPicPr>
                  <pic:blipFill>
                    <a:blip r:embed="rId137"/>
                    <a:srcRect/>
                    <a:stretch>
                      <a:fillRect/>
                    </a:stretch>
                  </pic:blipFill>
                  <pic:spPr>
                    <a:xfrm>
                      <a:off x="0" y="0"/>
                      <a:ext cx="5943600" cy="4711700"/>
                    </a:xfrm>
                    <a:prstGeom prst="rect">
                      <a:avLst/>
                    </a:prstGeom>
                    <a:ln w="12700">
                      <a:solidFill>
                        <a:srgbClr val="000000"/>
                      </a:solidFill>
                      <a:prstDash val="solid"/>
                    </a:ln>
                  </pic:spPr>
                </pic:pic>
              </a:graphicData>
            </a:graphic>
          </wp:inline>
        </w:drawing>
      </w:r>
    </w:p>
    <w:p w14:paraId="75475391"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Figure X. Commercial Shellfish Growing Areas and Recreational Beaches (Washington Department of Health, </w:t>
      </w:r>
      <w:r w:rsidRPr="00B90508">
        <w:rPr>
          <w:rFonts w:ascii="Calibri" w:eastAsia="Calibri" w:hAnsi="Calibri" w:cs="Calibri"/>
          <w:b/>
          <w:sz w:val="18"/>
        </w:rPr>
        <w:br/>
        <w:t>Shellfish Program)</w:t>
      </w:r>
    </w:p>
    <w:p w14:paraId="4C5DD5BD" w14:textId="77777777" w:rsidR="00B90508" w:rsidRPr="00B90508" w:rsidRDefault="00B90508" w:rsidP="00B90508">
      <w:pPr>
        <w:spacing w:line="276" w:lineRule="auto"/>
        <w:rPr>
          <w:rFonts w:eastAsiaTheme="minorEastAsia"/>
        </w:rPr>
      </w:pPr>
      <w:r w:rsidRPr="00B90508">
        <w:rPr>
          <w:rFonts w:ascii="Calibri" w:eastAsia="Calibri" w:hAnsi="Calibri" w:cs="Calibri"/>
        </w:rPr>
        <w:t xml:space="preserve">In addition, regulations specify that as a risk reduction measure, beaches near wastewater treatment plant outfalls or marinas must be closed to harvest. Beaches where harvest is prohibited or restricted due to wastewater treatment plant outfalls include Budd Inlet, Oakland Bay, and the western side of Key Peninsula. Beaches that are closed because of proximity to marinas include Reach Island in Case Inlet, several areas along Pickering Passage, Oro Bay of Anderson Island, Filucy Bay at the south of the Key Peninsula, and Wollochet Bay. </w:t>
      </w:r>
    </w:p>
    <w:p w14:paraId="46DD9B70" w14:textId="77777777" w:rsidR="00B90508" w:rsidRPr="00B90508" w:rsidRDefault="00B90508" w:rsidP="00B90508">
      <w:pPr>
        <w:spacing w:line="276" w:lineRule="auto"/>
        <w:rPr>
          <w:rFonts w:eastAsiaTheme="minorEastAsia"/>
        </w:rPr>
      </w:pPr>
      <w:r w:rsidRPr="00B90508">
        <w:rPr>
          <w:rFonts w:ascii="Calibri" w:eastAsia="Calibri" w:hAnsi="Calibri" w:cs="Calibri"/>
        </w:rPr>
        <w:t>The Alliance uses Washington Department of Health (DOH) assessment of shellfish growing area reclassifications to compile shellfish status and trends data. It is important to acknowledge that commercial and recreational shellfish harvest classification is not a complete illustration of healthy shellfish populations; some areas that are permanently closed to shellfish harvest (for example, shellfish beds in close proximity to waste treatment outfalls) will have viable shellfish populations with intrinsic ecosystem value despite their “closed” classification.</w:t>
      </w:r>
    </w:p>
    <w:p w14:paraId="3EA0E11E"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lastRenderedPageBreak/>
        <w:t>Table X. Commercial Growing Areas and Acres Available for Harvest in each Inlet/Island Group</w:t>
      </w:r>
    </w:p>
    <w:p w14:paraId="3CE9160A" w14:textId="77777777" w:rsidR="00B90508" w:rsidRPr="00B90508" w:rsidRDefault="00B90508" w:rsidP="00B90508">
      <w:pPr>
        <w:spacing w:after="0" w:line="276" w:lineRule="auto"/>
        <w:jc w:val="center"/>
        <w:rPr>
          <w:rFonts w:eastAsiaTheme="minorEastAsia"/>
        </w:rPr>
      </w:pPr>
      <w:r w:rsidRPr="00B90508">
        <w:rPr>
          <w:rFonts w:eastAsiaTheme="minorEastAsia"/>
          <w:noProof/>
        </w:rPr>
        <w:drawing>
          <wp:inline distT="0" distB="0" distL="0" distR="0" wp14:anchorId="07EC2905" wp14:editId="09EE475D">
            <wp:extent cx="5943600" cy="2322042"/>
            <wp:effectExtent l="19050" t="19050" r="19050" b="2159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943600" cy="2322042"/>
                    </a:xfrm>
                    <a:prstGeom prst="rect">
                      <a:avLst/>
                    </a:prstGeom>
                    <a:noFill/>
                    <a:ln w="3175">
                      <a:solidFill>
                        <a:sysClr val="windowText" lastClr="000000"/>
                      </a:solidFill>
                    </a:ln>
                  </pic:spPr>
                </pic:pic>
              </a:graphicData>
            </a:graphic>
          </wp:inline>
        </w:drawing>
      </w:r>
    </w:p>
    <w:p w14:paraId="54FF44D0" w14:textId="77777777" w:rsidR="00B90508" w:rsidRPr="00B90508" w:rsidRDefault="00B90508" w:rsidP="00B90508">
      <w:pPr>
        <w:spacing w:before="80" w:after="300" w:line="240" w:lineRule="auto"/>
        <w:rPr>
          <w:rFonts w:ascii="Calibri" w:eastAsia="Calibri" w:hAnsi="Calibri" w:cs="Calibri"/>
          <w:sz w:val="16"/>
          <w:szCs w:val="18"/>
        </w:rPr>
      </w:pPr>
      <w:r w:rsidRPr="00B90508">
        <w:rPr>
          <w:rFonts w:ascii="Calibri" w:eastAsia="Calibri" w:hAnsi="Calibri" w:cs="Calibri"/>
          <w:sz w:val="16"/>
          <w:szCs w:val="18"/>
        </w:rPr>
        <w:t>Source: Washington Department of Health; Commercial Growing Area Classification data</w:t>
      </w:r>
    </w:p>
    <w:p w14:paraId="5FFFCED4" w14:textId="77777777" w:rsidR="00B90508" w:rsidRPr="00B90508" w:rsidRDefault="00B90508" w:rsidP="00B90508">
      <w:pPr>
        <w:spacing w:line="276" w:lineRule="auto"/>
        <w:rPr>
          <w:rFonts w:eastAsiaTheme="minorEastAsia"/>
        </w:rPr>
      </w:pPr>
      <w:r w:rsidRPr="00B90508">
        <w:rPr>
          <w:rFonts w:ascii="Calibri" w:eastAsia="Calibri" w:hAnsi="Calibri" w:cs="Calibri"/>
        </w:rPr>
        <w:t>Key pressures on shellfish in the South Sound include:</w:t>
      </w:r>
    </w:p>
    <w:p w14:paraId="73AE911A" w14:textId="77777777" w:rsidR="00B90508" w:rsidRPr="00B90508" w:rsidRDefault="00B90508" w:rsidP="00B90508">
      <w:pPr>
        <w:numPr>
          <w:ilvl w:val="0"/>
          <w:numId w:val="55"/>
        </w:numPr>
        <w:spacing w:line="276" w:lineRule="auto"/>
        <w:contextualSpacing/>
        <w:rPr>
          <w:rFonts w:eastAsia="Calibri"/>
        </w:rPr>
      </w:pPr>
      <w:r w:rsidRPr="00B90508">
        <w:rPr>
          <w:rFonts w:eastAsia="Calibri"/>
        </w:rPr>
        <w:t>Housing &amp; Urban Areas (which increase stormwater runoff and are sources of non-point pollution such as from pet waste)</w:t>
      </w:r>
    </w:p>
    <w:p w14:paraId="0B01767A" w14:textId="77777777" w:rsidR="00B90508" w:rsidRPr="00B90508" w:rsidRDefault="00B90508" w:rsidP="00B90508">
      <w:pPr>
        <w:numPr>
          <w:ilvl w:val="0"/>
          <w:numId w:val="55"/>
        </w:numPr>
        <w:spacing w:line="276" w:lineRule="auto"/>
        <w:contextualSpacing/>
        <w:rPr>
          <w:rFonts w:eastAsia="Calibri"/>
        </w:rPr>
      </w:pPr>
      <w:r w:rsidRPr="00B90508">
        <w:rPr>
          <w:rFonts w:eastAsia="Calibri"/>
        </w:rPr>
        <w:t>Commercial &amp; Industrial Areas (which increase stormwater runoff and are sources of non-point pollution)</w:t>
      </w:r>
    </w:p>
    <w:p w14:paraId="522AECAD" w14:textId="77777777" w:rsidR="00B90508" w:rsidRPr="00B90508" w:rsidRDefault="00B90508" w:rsidP="00B90508">
      <w:pPr>
        <w:numPr>
          <w:ilvl w:val="0"/>
          <w:numId w:val="55"/>
        </w:numPr>
        <w:spacing w:line="276" w:lineRule="auto"/>
        <w:contextualSpacing/>
        <w:rPr>
          <w:rFonts w:eastAsia="Calibri"/>
        </w:rPr>
      </w:pPr>
      <w:r w:rsidRPr="00B90508">
        <w:rPr>
          <w:rFonts w:eastAsia="Calibri"/>
        </w:rPr>
        <w:t>Runoff from Residential and Commercial Lands</w:t>
      </w:r>
    </w:p>
    <w:p w14:paraId="53C69831" w14:textId="77777777" w:rsidR="00B90508" w:rsidRPr="00B90508" w:rsidRDefault="00B90508" w:rsidP="00DB2B36">
      <w:pPr>
        <w:numPr>
          <w:ilvl w:val="0"/>
          <w:numId w:val="55"/>
        </w:numPr>
        <w:spacing w:line="276" w:lineRule="auto"/>
        <w:rPr>
          <w:rFonts w:eastAsia="Calibri"/>
        </w:rPr>
      </w:pPr>
      <w:r w:rsidRPr="00B90508">
        <w:rPr>
          <w:rFonts w:eastAsia="Calibri"/>
        </w:rPr>
        <w:t>OSS - Domestic and Commercial Wastewater to On-site Sewage Systems or septic tanks</w:t>
      </w:r>
    </w:p>
    <w:p w14:paraId="04C9667F" w14:textId="77777777" w:rsidR="00B90508" w:rsidRPr="00B90508" w:rsidRDefault="00B90508" w:rsidP="00B90508">
      <w:pPr>
        <w:spacing w:line="276" w:lineRule="auto"/>
        <w:rPr>
          <w:rFonts w:eastAsiaTheme="minorEastAsia"/>
        </w:rPr>
      </w:pPr>
      <w:bookmarkStart w:id="300" w:name="_tdqhgo7j50s" w:colFirst="0" w:colLast="0"/>
      <w:bookmarkEnd w:id="300"/>
      <w:r w:rsidRPr="00B90508">
        <w:rPr>
          <w:rFonts w:ascii="Calibri" w:eastAsia="Calibri" w:hAnsi="Calibri" w:cs="Calibri"/>
        </w:rPr>
        <w:t xml:space="preserve">The Alliance did not create a new numeric goal for shellfish as part of this planning exercise. Rather, we have adopted existing targets from shellfish protection district closure response plans. Our target for shellfish is to maintain all currently open areas in open status and to implement closure response plans associated with Shellfish Protection Districts at Burley Lagoon, Nisqually Reach, Henderson Inlet, and Filucy, Rocky, Vaughn and Oakland Bays. If fully implemented these closure response plans will result in reopening 703 acres of shellfish to harvest. </w:t>
      </w:r>
    </w:p>
    <w:p w14:paraId="3D6DCFAF"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01" w:name="_9ema0wxrkdqn" w:colFirst="0" w:colLast="0"/>
      <w:bookmarkStart w:id="302" w:name="_Toc463000027"/>
      <w:bookmarkEnd w:id="301"/>
      <w:r w:rsidRPr="00B90508">
        <w:rPr>
          <w:rFonts w:asciiTheme="majorHAnsi" w:eastAsiaTheme="majorEastAsia" w:hAnsiTheme="majorHAnsi" w:cstheme="majorBidi"/>
          <w:color w:val="2B5A8E"/>
          <w:sz w:val="32"/>
          <w:szCs w:val="32"/>
          <w:u w:color="33CC33"/>
        </w:rPr>
        <w:t>Strategies, Existing Programs, and Actions</w:t>
      </w:r>
      <w:bookmarkEnd w:id="302"/>
    </w:p>
    <w:p w14:paraId="38C5333B" w14:textId="77777777" w:rsidR="00B90508" w:rsidRPr="00B90508" w:rsidRDefault="00B90508" w:rsidP="00B90508">
      <w:pPr>
        <w:spacing w:line="276" w:lineRule="auto"/>
        <w:rPr>
          <w:rFonts w:eastAsiaTheme="minorEastAsia"/>
        </w:rPr>
      </w:pPr>
      <w:r w:rsidRPr="00B90508">
        <w:rPr>
          <w:rFonts w:ascii="Calibri" w:eastAsia="Calibri" w:hAnsi="Calibri" w:cs="Calibri"/>
        </w:rPr>
        <w:t>Strategies for protection and restoration of shellfish beds focus on:</w:t>
      </w:r>
    </w:p>
    <w:p w14:paraId="004B434B" w14:textId="77777777" w:rsidR="00B90508" w:rsidRPr="00B90508" w:rsidRDefault="00B90508" w:rsidP="00B90508">
      <w:pPr>
        <w:numPr>
          <w:ilvl w:val="0"/>
          <w:numId w:val="56"/>
        </w:numPr>
        <w:spacing w:line="276" w:lineRule="auto"/>
        <w:contextualSpacing/>
        <w:rPr>
          <w:rFonts w:eastAsia="Calibri"/>
        </w:rPr>
      </w:pPr>
      <w:r w:rsidRPr="00B90508">
        <w:rPr>
          <w:rFonts w:eastAsia="Calibri"/>
        </w:rPr>
        <w:t>Reduction of contamination in stormwater runoff through programs that encourage residents to practice source reduction by, for example, managing livestock and pet wastes appropriately.</w:t>
      </w:r>
    </w:p>
    <w:p w14:paraId="62613417" w14:textId="77777777" w:rsidR="00B90508" w:rsidRPr="00B90508" w:rsidRDefault="00B90508" w:rsidP="00B90508">
      <w:pPr>
        <w:numPr>
          <w:ilvl w:val="0"/>
          <w:numId w:val="56"/>
        </w:numPr>
        <w:spacing w:line="276" w:lineRule="auto"/>
        <w:contextualSpacing/>
        <w:rPr>
          <w:rFonts w:eastAsia="Calibri"/>
        </w:rPr>
      </w:pPr>
      <w:r w:rsidRPr="00B90508">
        <w:rPr>
          <w:rFonts w:eastAsia="Calibri"/>
        </w:rPr>
        <w:t xml:space="preserve">Improvements in the maintenance and operation of septic tanks </w:t>
      </w:r>
    </w:p>
    <w:p w14:paraId="461837C3" w14:textId="77777777" w:rsidR="00B90508" w:rsidRPr="00B90508" w:rsidRDefault="00B90508" w:rsidP="00B90508">
      <w:pPr>
        <w:numPr>
          <w:ilvl w:val="0"/>
          <w:numId w:val="56"/>
        </w:numPr>
        <w:spacing w:line="276" w:lineRule="auto"/>
        <w:contextualSpacing/>
        <w:rPr>
          <w:rFonts w:eastAsia="Calibri"/>
        </w:rPr>
      </w:pPr>
      <w:r w:rsidRPr="00B90508">
        <w:rPr>
          <w:rFonts w:eastAsia="Calibri"/>
        </w:rPr>
        <w:t>Identification and correction of specific pollution sources, such as failing septic tanks, which is the focus of many of the Shellfish Protection District closure response plans</w:t>
      </w:r>
    </w:p>
    <w:p w14:paraId="2A202129" w14:textId="77777777" w:rsidR="00B90508" w:rsidRPr="00B90508" w:rsidRDefault="00B90508" w:rsidP="00DB2B36">
      <w:pPr>
        <w:numPr>
          <w:ilvl w:val="0"/>
          <w:numId w:val="55"/>
        </w:numPr>
        <w:spacing w:line="276" w:lineRule="auto"/>
        <w:rPr>
          <w:rFonts w:eastAsia="Calibri"/>
        </w:rPr>
      </w:pPr>
      <w:r w:rsidRPr="00B90508">
        <w:rPr>
          <w:rFonts w:eastAsia="Calibri"/>
        </w:rPr>
        <w:t>Conversion of septic systems to sewer</w:t>
      </w:r>
    </w:p>
    <w:p w14:paraId="2DA4FC42"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303" w:name="_kcurhgvzn0jl" w:colFirst="0" w:colLast="0"/>
      <w:bookmarkStart w:id="304" w:name="_d3g7ka273x9z" w:colFirst="0" w:colLast="0"/>
      <w:bookmarkEnd w:id="303"/>
      <w:bookmarkEnd w:id="304"/>
      <w:r w:rsidRPr="00B90508">
        <w:rPr>
          <w:rFonts w:eastAsiaTheme="majorEastAsia" w:cstheme="minorHAnsi"/>
          <w:b/>
          <w:color w:val="595959" w:themeColor="text1" w:themeTint="A6"/>
          <w:sz w:val="24"/>
          <w:szCs w:val="28"/>
        </w:rPr>
        <w:lastRenderedPageBreak/>
        <w:t>Shellfish Protection Districts</w:t>
      </w:r>
    </w:p>
    <w:p w14:paraId="2D6E4C11" w14:textId="77777777" w:rsidR="00B90508" w:rsidRPr="00B90508" w:rsidRDefault="00B90508" w:rsidP="00B90508">
      <w:pPr>
        <w:spacing w:line="276" w:lineRule="auto"/>
        <w:rPr>
          <w:rFonts w:eastAsiaTheme="minorEastAsia"/>
        </w:rPr>
      </w:pPr>
      <w:r w:rsidRPr="00B90508">
        <w:rPr>
          <w:rFonts w:ascii="Calibri" w:eastAsia="Calibri" w:hAnsi="Calibri" w:cs="Calibri"/>
        </w:rPr>
        <w:t>RCW Chapter 90.72 requires the county legislative authority to create a shellfish protection district (SPD) within 180 days after the Washington State Department of Health (DOH) closes or downgrades a shellfish growing area due to a degradation of water quality. There are six established SPDs in the South Sound: Rocky Bay (1995), Filucy Bay (2002), Burley Lagoon (1999), Oakland Bay (2006), and Henderson Inlet/Nisqually Reach (2001). In response to downgrades, SPDs develop Closure Response Plans (CRP) to outline specific actions to improve water quality to achieve upgrade of shellfish growing areas. The shellfish protection near-term action (NTA) developed for the 2016 update to the Action Agenda for Puget Sound compiles the actions described in the CRPs that originally accompanied the establishment of the SPDs. Pierce County Shellfish Partners also completed a 2020 Strategic Plan in 2013 (</w:t>
      </w:r>
      <w:hyperlink r:id="rId139">
        <w:r w:rsidRPr="00B90508">
          <w:rPr>
            <w:rFonts w:ascii="Calibri" w:eastAsia="Calibri" w:hAnsi="Calibri" w:cs="Calibri"/>
            <w:color w:val="1155CC"/>
            <w:u w:val="single"/>
          </w:rPr>
          <w:t>link</w:t>
        </w:r>
      </w:hyperlink>
      <w:r w:rsidRPr="00B90508">
        <w:rPr>
          <w:rFonts w:ascii="Calibri" w:eastAsia="Calibri" w:hAnsi="Calibri" w:cs="Calibri"/>
        </w:rPr>
        <w:t>). The Strategic Plan is focused around Preventing, Identifying, and Correcting sources of bacterial pollution and includes actions and cost estimates for achieving 2017 and 2010 targets.</w:t>
      </w:r>
    </w:p>
    <w:p w14:paraId="7B68E4B7" w14:textId="77777777" w:rsidR="00B90508" w:rsidRPr="00B90508" w:rsidRDefault="00B90508" w:rsidP="00B90508">
      <w:pPr>
        <w:spacing w:line="276" w:lineRule="auto"/>
        <w:rPr>
          <w:rFonts w:eastAsiaTheme="minorEastAsia"/>
        </w:rPr>
      </w:pPr>
      <w:r w:rsidRPr="00B90508">
        <w:rPr>
          <w:rFonts w:ascii="Calibri" w:eastAsia="Calibri" w:hAnsi="Calibri" w:cs="Calibri"/>
        </w:rPr>
        <w:t>SPDs and CRPs are also being adopted for Vaughn Bay and McLane Cove because of recent classification downgrades. Finally, Totten-Little Skookum and North Bay have been established as "sensitive areas”. All these reflect the downgrade of almost 800 acres of shellfish growing area. Each CRP outlines specific tasks and actions. In general, the major tasks in all the CRPs are derived from, or consistent with (for those established earlier) the Pierce County Shellfish Partners 2020 Strategic Plan:</w:t>
      </w:r>
    </w:p>
    <w:p w14:paraId="021B37B2" w14:textId="77777777" w:rsidR="00B90508" w:rsidRPr="00B90508" w:rsidRDefault="00B90508" w:rsidP="00B90508">
      <w:pPr>
        <w:numPr>
          <w:ilvl w:val="0"/>
          <w:numId w:val="42"/>
        </w:numPr>
        <w:spacing w:after="0" w:line="276" w:lineRule="auto"/>
        <w:ind w:hanging="360"/>
        <w:contextualSpacing/>
        <w:rPr>
          <w:rFonts w:ascii="Calibri" w:eastAsia="Calibri" w:hAnsi="Calibri" w:cs="Calibri"/>
        </w:rPr>
      </w:pPr>
      <w:r w:rsidRPr="00B90508">
        <w:rPr>
          <w:rFonts w:ascii="Calibri" w:eastAsia="Calibri" w:hAnsi="Calibri" w:cs="Calibri"/>
        </w:rPr>
        <w:t>Enhanced On-site Sewage System Operation and Maintenance Programs</w:t>
      </w:r>
    </w:p>
    <w:p w14:paraId="69345AD7" w14:textId="77777777" w:rsidR="00B90508" w:rsidRPr="00B90508" w:rsidRDefault="00B90508" w:rsidP="00B90508">
      <w:pPr>
        <w:numPr>
          <w:ilvl w:val="0"/>
          <w:numId w:val="42"/>
        </w:numPr>
        <w:spacing w:after="0" w:line="276" w:lineRule="auto"/>
        <w:ind w:hanging="360"/>
        <w:contextualSpacing/>
        <w:rPr>
          <w:rFonts w:ascii="Calibri" w:eastAsia="Calibri" w:hAnsi="Calibri" w:cs="Calibri"/>
        </w:rPr>
      </w:pPr>
      <w:r w:rsidRPr="00B90508">
        <w:rPr>
          <w:rFonts w:ascii="Calibri" w:eastAsia="Calibri" w:hAnsi="Calibri" w:cs="Calibri"/>
        </w:rPr>
        <w:t>Education and Outreach of District residents on bacterial pollution sources, and pollution prevention actions such as on-site maintenance and farm management</w:t>
      </w:r>
    </w:p>
    <w:p w14:paraId="188DC646" w14:textId="77777777" w:rsidR="00B90508" w:rsidRPr="00B90508" w:rsidRDefault="00B90508" w:rsidP="00B90508">
      <w:pPr>
        <w:numPr>
          <w:ilvl w:val="0"/>
          <w:numId w:val="42"/>
        </w:numPr>
        <w:spacing w:after="0" w:line="276" w:lineRule="auto"/>
        <w:ind w:hanging="360"/>
        <w:contextualSpacing/>
        <w:rPr>
          <w:rFonts w:ascii="Calibri" w:eastAsia="Calibri" w:hAnsi="Calibri" w:cs="Calibri"/>
        </w:rPr>
      </w:pPr>
      <w:r w:rsidRPr="00B90508">
        <w:rPr>
          <w:rFonts w:ascii="Calibri" w:eastAsia="Calibri" w:hAnsi="Calibri" w:cs="Calibri"/>
        </w:rPr>
        <w:t>Effective Communication between agencies</w:t>
      </w:r>
    </w:p>
    <w:p w14:paraId="11FC1F95" w14:textId="77777777" w:rsidR="00B90508" w:rsidRPr="00B90508" w:rsidRDefault="00B90508" w:rsidP="00B90508">
      <w:pPr>
        <w:numPr>
          <w:ilvl w:val="0"/>
          <w:numId w:val="42"/>
        </w:numPr>
        <w:spacing w:after="0" w:line="276" w:lineRule="auto"/>
        <w:ind w:hanging="360"/>
        <w:contextualSpacing/>
        <w:rPr>
          <w:rFonts w:ascii="Calibri" w:eastAsia="Calibri" w:hAnsi="Calibri" w:cs="Calibri"/>
        </w:rPr>
      </w:pPr>
      <w:r w:rsidRPr="00B90508">
        <w:rPr>
          <w:rFonts w:ascii="Calibri" w:eastAsia="Calibri" w:hAnsi="Calibri" w:cs="Calibri"/>
        </w:rPr>
        <w:t>Inspection/Monitoring/Sampling to identify potential problems</w:t>
      </w:r>
    </w:p>
    <w:p w14:paraId="10545ACB" w14:textId="77777777" w:rsidR="00B90508" w:rsidRPr="00B90508" w:rsidRDefault="00B90508" w:rsidP="00B90508">
      <w:pPr>
        <w:numPr>
          <w:ilvl w:val="0"/>
          <w:numId w:val="42"/>
        </w:numPr>
        <w:spacing w:after="0" w:line="276" w:lineRule="auto"/>
        <w:ind w:hanging="360"/>
        <w:contextualSpacing/>
        <w:rPr>
          <w:rFonts w:ascii="Calibri" w:eastAsia="Calibri" w:hAnsi="Calibri" w:cs="Calibri"/>
        </w:rPr>
      </w:pPr>
      <w:r w:rsidRPr="00B90508">
        <w:rPr>
          <w:rFonts w:ascii="Calibri" w:eastAsia="Calibri" w:hAnsi="Calibri" w:cs="Calibri"/>
        </w:rPr>
        <w:t>Pollution Correction Facilitation and Enforcement</w:t>
      </w:r>
    </w:p>
    <w:p w14:paraId="0F2BD20D" w14:textId="77777777" w:rsidR="00B90508" w:rsidRPr="00B90508" w:rsidRDefault="00B90508" w:rsidP="00B90508">
      <w:pPr>
        <w:numPr>
          <w:ilvl w:val="0"/>
          <w:numId w:val="42"/>
        </w:numPr>
        <w:spacing w:after="0" w:line="276" w:lineRule="auto"/>
        <w:ind w:hanging="360"/>
        <w:contextualSpacing/>
        <w:rPr>
          <w:rFonts w:ascii="Calibri" w:eastAsia="Calibri" w:hAnsi="Calibri" w:cs="Calibri"/>
        </w:rPr>
      </w:pPr>
      <w:r w:rsidRPr="00B90508">
        <w:rPr>
          <w:rFonts w:ascii="Calibri" w:eastAsia="Calibri" w:hAnsi="Calibri" w:cs="Calibri"/>
        </w:rPr>
        <w:t>Owner/Operator Incentives to encourage improvements</w:t>
      </w:r>
    </w:p>
    <w:p w14:paraId="1F25E7F5" w14:textId="77777777" w:rsidR="00B90508" w:rsidRPr="00B90508" w:rsidRDefault="00B90508" w:rsidP="00B90508">
      <w:pPr>
        <w:numPr>
          <w:ilvl w:val="0"/>
          <w:numId w:val="42"/>
        </w:numPr>
        <w:spacing w:after="0" w:line="276" w:lineRule="auto"/>
        <w:ind w:hanging="360"/>
        <w:contextualSpacing/>
        <w:rPr>
          <w:rFonts w:ascii="Calibri" w:eastAsia="Calibri" w:hAnsi="Calibri" w:cs="Calibri"/>
        </w:rPr>
      </w:pPr>
      <w:r w:rsidRPr="00B90508">
        <w:rPr>
          <w:rFonts w:ascii="Calibri" w:eastAsia="Calibri" w:hAnsi="Calibri" w:cs="Calibri"/>
        </w:rPr>
        <w:t>State and Local Regulatory Support</w:t>
      </w:r>
    </w:p>
    <w:p w14:paraId="0C40746E" w14:textId="77777777" w:rsidR="00B90508" w:rsidRPr="00B90508" w:rsidRDefault="00B90508" w:rsidP="00B90508">
      <w:pPr>
        <w:numPr>
          <w:ilvl w:val="0"/>
          <w:numId w:val="42"/>
        </w:numPr>
        <w:spacing w:after="0" w:line="276" w:lineRule="auto"/>
        <w:ind w:hanging="360"/>
        <w:contextualSpacing/>
        <w:rPr>
          <w:rFonts w:ascii="Calibri" w:eastAsia="Calibri" w:hAnsi="Calibri" w:cs="Calibri"/>
        </w:rPr>
      </w:pPr>
      <w:r w:rsidRPr="00B90508">
        <w:rPr>
          <w:rFonts w:ascii="Calibri" w:eastAsia="Calibri" w:hAnsi="Calibri" w:cs="Calibri"/>
        </w:rPr>
        <w:t>Research to identify improved practices</w:t>
      </w:r>
    </w:p>
    <w:p w14:paraId="1FBF4BF2" w14:textId="77777777" w:rsidR="00B90508" w:rsidRPr="00B90508" w:rsidRDefault="00B90508" w:rsidP="00B90508">
      <w:pPr>
        <w:numPr>
          <w:ilvl w:val="0"/>
          <w:numId w:val="42"/>
        </w:numPr>
        <w:spacing w:after="0" w:line="276" w:lineRule="auto"/>
        <w:ind w:hanging="360"/>
        <w:contextualSpacing/>
        <w:rPr>
          <w:rFonts w:ascii="Calibri" w:eastAsia="Calibri" w:hAnsi="Calibri" w:cs="Calibri"/>
        </w:rPr>
      </w:pPr>
      <w:r w:rsidRPr="00B90508">
        <w:rPr>
          <w:rFonts w:ascii="Calibri" w:eastAsia="Calibri" w:hAnsi="Calibri" w:cs="Calibri"/>
        </w:rPr>
        <w:t>Program Evaluation to ensure long term program effectiveness</w:t>
      </w:r>
    </w:p>
    <w:p w14:paraId="08D14E4C" w14:textId="77777777" w:rsidR="00B90508" w:rsidRPr="00B90508" w:rsidRDefault="00B90508" w:rsidP="00B90508">
      <w:pPr>
        <w:spacing w:before="120" w:line="276" w:lineRule="auto"/>
        <w:rPr>
          <w:rFonts w:eastAsiaTheme="minorEastAsia"/>
        </w:rPr>
      </w:pPr>
      <w:r w:rsidRPr="00B90508">
        <w:rPr>
          <w:rFonts w:ascii="Calibri" w:eastAsia="Calibri" w:hAnsi="Calibri" w:cs="Calibri"/>
        </w:rPr>
        <w:t>The Pierce County Shellfish Partners Program use the above approach to achieve upgrade of more than 400 acres of shellfish growing beds between 2005 and 2014.</w:t>
      </w:r>
    </w:p>
    <w:p w14:paraId="60B562BE"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305" w:name="_ujzv69eof88m" w:colFirst="0" w:colLast="0"/>
      <w:bookmarkEnd w:id="305"/>
      <w:r w:rsidRPr="00B90508">
        <w:rPr>
          <w:rFonts w:eastAsiaTheme="majorEastAsia" w:cstheme="minorHAnsi"/>
          <w:b/>
          <w:color w:val="595959" w:themeColor="text1" w:themeTint="A6"/>
          <w:sz w:val="24"/>
          <w:szCs w:val="28"/>
        </w:rPr>
        <w:t>County OSS Programs</w:t>
      </w:r>
    </w:p>
    <w:p w14:paraId="299A0883" w14:textId="77777777" w:rsidR="00B90508" w:rsidRPr="00B90508" w:rsidRDefault="00B90508" w:rsidP="00B90508">
      <w:pPr>
        <w:spacing w:line="276" w:lineRule="auto"/>
        <w:rPr>
          <w:rFonts w:eastAsiaTheme="minorEastAsia"/>
        </w:rPr>
      </w:pPr>
      <w:r w:rsidRPr="00B90508">
        <w:rPr>
          <w:rFonts w:ascii="Calibri" w:eastAsia="Calibri" w:hAnsi="Calibri" w:cs="Calibri"/>
        </w:rPr>
        <w:t>Each of the South Sound counties operates programs to address issues related to on-site sewage systems (OSS), one of the primary pressures on marine water quality and shellfish growing. These programs generally include pollution identification and correction (PIC) elements, outreach and education for OSS owners, and resources for OSS op</w:t>
      </w:r>
      <w:r w:rsidRPr="00B90508">
        <w:rPr>
          <w:rFonts w:eastAsiaTheme="minorEastAsia"/>
        </w:rPr>
        <w:t>erations and maintenance. In May 2016 Thurston County updated its on-site sewage management plan (</w:t>
      </w:r>
      <w:hyperlink r:id="rId140">
        <w:r w:rsidRPr="00B90508">
          <w:rPr>
            <w:rFonts w:eastAsiaTheme="minorEastAsia"/>
            <w:color w:val="2B5A8E"/>
            <w:u w:val="single"/>
          </w:rPr>
          <w:t>link</w:t>
        </w:r>
      </w:hyperlink>
      <w:r w:rsidRPr="00B90508">
        <w:rPr>
          <w:rFonts w:eastAsiaTheme="minorEastAsia"/>
        </w:rPr>
        <w:t>). The updated plan describes overarching goals for OSS management (summary list below) and various funding strategies to meet these goals. Tacoma-Pierce County Public Health’s OSS management plan (</w:t>
      </w:r>
      <w:hyperlink r:id="rId141">
        <w:r w:rsidRPr="00B90508">
          <w:rPr>
            <w:rFonts w:eastAsiaTheme="minorEastAsia"/>
            <w:color w:val="2B5A8E"/>
            <w:u w:val="single"/>
          </w:rPr>
          <w:t>link</w:t>
        </w:r>
      </w:hyperlink>
      <w:r w:rsidRPr="00B90508">
        <w:rPr>
          <w:rFonts w:eastAsiaTheme="minorEastAsia"/>
        </w:rPr>
        <w:t>), a</w:t>
      </w:r>
      <w:r w:rsidRPr="00B90508">
        <w:rPr>
          <w:rFonts w:ascii="Calibri" w:eastAsia="Calibri" w:hAnsi="Calibri" w:cs="Calibri"/>
        </w:rPr>
        <w:t>dopted in September 2007, includes similar overarching goal statements. A summary of these goal statements is below.</w:t>
      </w:r>
    </w:p>
    <w:p w14:paraId="15455C3D"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lastRenderedPageBreak/>
        <w:t>Table 1: Goal Statements for Two South Sound OSS Management Plans</w:t>
      </w:r>
    </w:p>
    <w:tbl>
      <w:tblPr>
        <w:tblStyle w:val="TableGrid1"/>
        <w:tblW w:w="9360"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3415"/>
        <w:gridCol w:w="5945"/>
      </w:tblGrid>
      <w:tr w:rsidR="00B90508" w:rsidRPr="00B90508" w14:paraId="55420948" w14:textId="77777777" w:rsidTr="00B90508">
        <w:trPr>
          <w:jc w:val="center"/>
        </w:trPr>
        <w:tc>
          <w:tcPr>
            <w:tcW w:w="3415" w:type="dxa"/>
            <w:shd w:val="clear" w:color="auto" w:fill="D9D9D9" w:themeFill="background1" w:themeFillShade="D9"/>
            <w:vAlign w:val="center"/>
          </w:tcPr>
          <w:p w14:paraId="20F0510D" w14:textId="77777777" w:rsidR="00B90508" w:rsidRPr="00B90508" w:rsidRDefault="00B90508" w:rsidP="00B90508">
            <w:pPr>
              <w:jc w:val="center"/>
              <w:rPr>
                <w:b/>
                <w:sz w:val="20"/>
                <w:szCs w:val="20"/>
              </w:rPr>
            </w:pPr>
            <w:r w:rsidRPr="00B90508">
              <w:rPr>
                <w:rFonts w:eastAsia="Calibri"/>
                <w:b/>
                <w:sz w:val="20"/>
                <w:szCs w:val="20"/>
              </w:rPr>
              <w:t>Thurston County</w:t>
            </w:r>
          </w:p>
        </w:tc>
        <w:tc>
          <w:tcPr>
            <w:tcW w:w="5945" w:type="dxa"/>
            <w:shd w:val="clear" w:color="auto" w:fill="D9D9D9" w:themeFill="background1" w:themeFillShade="D9"/>
            <w:vAlign w:val="center"/>
          </w:tcPr>
          <w:p w14:paraId="3E621EBD" w14:textId="77777777" w:rsidR="00B90508" w:rsidRPr="00B90508" w:rsidRDefault="00B90508" w:rsidP="00B90508">
            <w:pPr>
              <w:jc w:val="center"/>
              <w:rPr>
                <w:b/>
                <w:sz w:val="20"/>
                <w:szCs w:val="20"/>
              </w:rPr>
            </w:pPr>
            <w:r w:rsidRPr="00B90508">
              <w:rPr>
                <w:rFonts w:eastAsia="Calibri"/>
                <w:b/>
                <w:sz w:val="20"/>
                <w:szCs w:val="20"/>
              </w:rPr>
              <w:t>Tacoma-Pierce County Public Health</w:t>
            </w:r>
          </w:p>
        </w:tc>
      </w:tr>
      <w:tr w:rsidR="00B90508" w:rsidRPr="00B90508" w14:paraId="6F352AB6" w14:textId="77777777" w:rsidTr="00B90508">
        <w:trPr>
          <w:jc w:val="center"/>
        </w:trPr>
        <w:tc>
          <w:tcPr>
            <w:tcW w:w="3415" w:type="dxa"/>
          </w:tcPr>
          <w:p w14:paraId="616AFA14"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Protect public health &amp; water resources by making sure that sewage is treated and disposed of adequately</w:t>
            </w:r>
          </w:p>
          <w:p w14:paraId="6008B2D2"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Inventory septic systems, identify and ensure repair of failing septic systems</w:t>
            </w:r>
          </w:p>
          <w:p w14:paraId="48C10F29"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Focus on the ongoing maintenance and</w:t>
            </w:r>
          </w:p>
          <w:p w14:paraId="316F6ED0"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operation of septic systems</w:t>
            </w:r>
          </w:p>
          <w:p w14:paraId="1AFAF004"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Plan elements should meet the requirements of state law: WAC246-272A, RCW 70.118A and meet the needs of Thurston County citizens, make sense, and be reasonable</w:t>
            </w:r>
          </w:p>
        </w:tc>
        <w:tc>
          <w:tcPr>
            <w:tcW w:w="5945" w:type="dxa"/>
          </w:tcPr>
          <w:p w14:paraId="27D683C0"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Begin a comprehensive inventory to locate and index existing unknown OSS by tax parcel number</w:t>
            </w:r>
          </w:p>
          <w:p w14:paraId="6B891C5D"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Improve the means by which O&amp;M inspection records are received, maintained and disseminated to interested parties</w:t>
            </w:r>
          </w:p>
          <w:p w14:paraId="0611FDCC"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Expand outreach and education efforts so more OSS owners are aware of the type, location and maintenance requirements of their system and better understand the benefits of ongoing O&amp;M</w:t>
            </w:r>
          </w:p>
          <w:p w14:paraId="7B421EB2"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Increase compliance enforcement for operation, monitoring and maintenance requirements, and the identification and repair of failing OSS</w:t>
            </w:r>
          </w:p>
          <w:p w14:paraId="32A09D95"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Review areas currently recognized as environmentally sensitive to determine whether existing protection measures are adequate, and determine whether new sensitive areas should be designated</w:t>
            </w:r>
          </w:p>
          <w:p w14:paraId="56CA2DFA"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Coordinate with and augment existing programs that provide long-term protection for groundwater, surface water and marine resources, add staffing and new program activities to increase public health protection.</w:t>
            </w:r>
          </w:p>
          <w:p w14:paraId="2552A949" w14:textId="77777777" w:rsidR="00B90508" w:rsidRPr="00B90508" w:rsidRDefault="00B90508" w:rsidP="00B90508">
            <w:pPr>
              <w:spacing w:line="276" w:lineRule="auto"/>
              <w:ind w:left="358" w:hanging="286"/>
              <w:contextualSpacing/>
              <w:rPr>
                <w:rFonts w:eastAsia="Calibri"/>
                <w:sz w:val="20"/>
              </w:rPr>
            </w:pPr>
            <w:r w:rsidRPr="00B90508">
              <w:rPr>
                <w:rFonts w:eastAsia="Calibri"/>
                <w:sz w:val="20"/>
              </w:rPr>
              <w:t>Develop long-term funding and create local capacity to implement and sustain the needed O&amp;M program improvements</w:t>
            </w:r>
          </w:p>
        </w:tc>
      </w:tr>
    </w:tbl>
    <w:p w14:paraId="65B4761C" w14:textId="77777777" w:rsidR="00B90508" w:rsidRPr="00B90508" w:rsidRDefault="00B90508" w:rsidP="00B90508">
      <w:pPr>
        <w:spacing w:line="276" w:lineRule="auto"/>
        <w:rPr>
          <w:rFonts w:eastAsiaTheme="minorEastAsia"/>
        </w:rPr>
      </w:pPr>
    </w:p>
    <w:p w14:paraId="572402E3" w14:textId="77777777" w:rsidR="00B90508" w:rsidRPr="00B90508" w:rsidRDefault="00B90508" w:rsidP="00B90508">
      <w:pPr>
        <w:keepNext/>
        <w:keepLines/>
        <w:spacing w:after="100" w:line="240" w:lineRule="auto"/>
        <w:outlineLvl w:val="2"/>
        <w:rPr>
          <w:rFonts w:eastAsiaTheme="majorEastAsia" w:cstheme="minorHAnsi"/>
          <w:b/>
          <w:color w:val="595959" w:themeColor="text1" w:themeTint="A6"/>
          <w:sz w:val="24"/>
          <w:szCs w:val="28"/>
        </w:rPr>
      </w:pPr>
      <w:bookmarkStart w:id="306" w:name="_qbdvamu0cruh" w:colFirst="0" w:colLast="0"/>
      <w:bookmarkEnd w:id="306"/>
      <w:r w:rsidRPr="00B90508">
        <w:rPr>
          <w:rFonts w:eastAsiaTheme="majorEastAsia" w:cstheme="minorHAnsi"/>
          <w:b/>
          <w:color w:val="595959" w:themeColor="text1" w:themeTint="A6"/>
          <w:sz w:val="24"/>
          <w:szCs w:val="28"/>
        </w:rPr>
        <w:t>AHSS Near-Term Actions for Shellfish</w:t>
      </w:r>
    </w:p>
    <w:p w14:paraId="1B8F9BD4" w14:textId="77777777" w:rsidR="00B90508" w:rsidRPr="00B90508" w:rsidRDefault="00B90508" w:rsidP="00B90508">
      <w:pPr>
        <w:spacing w:line="276" w:lineRule="auto"/>
        <w:rPr>
          <w:rFonts w:eastAsiaTheme="minorEastAsia"/>
        </w:rPr>
      </w:pPr>
      <w:r w:rsidRPr="00B90508">
        <w:rPr>
          <w:rFonts w:ascii="Calibri" w:eastAsia="Calibri" w:hAnsi="Calibri" w:cs="Calibri"/>
        </w:rPr>
        <w:t>AHSS identified two specific NTAs related to shellfish as part of the 2016 Action Agenda update: South Sound shellfish recovery and Thurston County urban septic to sewer conversion. Both of these NTAs are described below. Other South Sound NTAs that are not focused on shellfish will also benefit shellfish, primarily through improved marine water quality.</w:t>
      </w:r>
    </w:p>
    <w:p w14:paraId="6F59D3ED" w14:textId="77777777" w:rsidR="00B90508" w:rsidRPr="00B90508" w:rsidRDefault="00B90508" w:rsidP="00B90508">
      <w:pPr>
        <w:numPr>
          <w:ilvl w:val="0"/>
          <w:numId w:val="43"/>
        </w:numPr>
        <w:spacing w:after="240" w:line="276" w:lineRule="auto"/>
        <w:ind w:left="360" w:hanging="360"/>
        <w:contextualSpacing/>
        <w:rPr>
          <w:rFonts w:ascii="Calibri" w:eastAsia="Calibri" w:hAnsi="Calibri" w:cs="Calibri"/>
        </w:rPr>
      </w:pPr>
      <w:r w:rsidRPr="00B90508">
        <w:rPr>
          <w:rFonts w:ascii="Calibri" w:eastAsia="Calibri" w:hAnsi="Calibri" w:cs="Calibri"/>
          <w:b/>
        </w:rPr>
        <w:t>The South Sound shellfish</w:t>
      </w:r>
      <w:r w:rsidRPr="00B90508">
        <w:rPr>
          <w:rFonts w:ascii="Calibri" w:eastAsia="Calibri" w:hAnsi="Calibri" w:cs="Calibri"/>
        </w:rPr>
        <w:t xml:space="preserve"> recovery NTA for the 2016 Action Agenda update identified the following estimated potential acres for upgrade for each impacted growing area:</w:t>
      </w:r>
    </w:p>
    <w:tbl>
      <w:tblPr>
        <w:tblStyle w:val="TableGrid1"/>
        <w:tblW w:w="4680" w:type="dxa"/>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2720"/>
        <w:gridCol w:w="1960"/>
      </w:tblGrid>
      <w:tr w:rsidR="00B90508" w:rsidRPr="00B90508" w14:paraId="1F1E92B9" w14:textId="77777777" w:rsidTr="00B90508">
        <w:trPr>
          <w:jc w:val="center"/>
        </w:trPr>
        <w:tc>
          <w:tcPr>
            <w:tcW w:w="2720" w:type="dxa"/>
            <w:shd w:val="clear" w:color="auto" w:fill="D9D9D9" w:themeFill="background1" w:themeFillShade="D9"/>
            <w:vAlign w:val="center"/>
          </w:tcPr>
          <w:p w14:paraId="642428FA" w14:textId="77777777" w:rsidR="00B90508" w:rsidRPr="00B90508" w:rsidRDefault="00B90508" w:rsidP="00B90508">
            <w:pPr>
              <w:jc w:val="center"/>
              <w:rPr>
                <w:b/>
                <w:sz w:val="20"/>
                <w:szCs w:val="20"/>
              </w:rPr>
            </w:pPr>
            <w:r w:rsidRPr="00B90508">
              <w:rPr>
                <w:rFonts w:eastAsia="Calibri"/>
                <w:b/>
                <w:sz w:val="20"/>
                <w:szCs w:val="20"/>
              </w:rPr>
              <w:t>Shellfish Growing Area</w:t>
            </w:r>
          </w:p>
        </w:tc>
        <w:tc>
          <w:tcPr>
            <w:tcW w:w="1960" w:type="dxa"/>
            <w:shd w:val="clear" w:color="auto" w:fill="D9D9D9" w:themeFill="background1" w:themeFillShade="D9"/>
            <w:vAlign w:val="center"/>
          </w:tcPr>
          <w:p w14:paraId="5A44DEA7" w14:textId="77777777" w:rsidR="00B90508" w:rsidRPr="00B90508" w:rsidRDefault="00B90508" w:rsidP="00B90508">
            <w:pPr>
              <w:jc w:val="center"/>
              <w:rPr>
                <w:b/>
                <w:sz w:val="20"/>
                <w:szCs w:val="20"/>
              </w:rPr>
            </w:pPr>
            <w:r w:rsidRPr="00B90508">
              <w:rPr>
                <w:rFonts w:eastAsia="Calibri"/>
                <w:b/>
                <w:sz w:val="20"/>
                <w:szCs w:val="20"/>
              </w:rPr>
              <w:t>Potential Acres</w:t>
            </w:r>
          </w:p>
        </w:tc>
      </w:tr>
      <w:tr w:rsidR="00B90508" w:rsidRPr="00B90508" w14:paraId="59987D30" w14:textId="77777777" w:rsidTr="00B90508">
        <w:trPr>
          <w:jc w:val="center"/>
        </w:trPr>
        <w:tc>
          <w:tcPr>
            <w:tcW w:w="2720" w:type="dxa"/>
          </w:tcPr>
          <w:p w14:paraId="72EF85D1" w14:textId="77777777" w:rsidR="00B90508" w:rsidRPr="00B90508" w:rsidRDefault="00B90508" w:rsidP="00B90508">
            <w:pPr>
              <w:rPr>
                <w:sz w:val="20"/>
                <w:szCs w:val="20"/>
              </w:rPr>
            </w:pPr>
            <w:r w:rsidRPr="00B90508">
              <w:rPr>
                <w:sz w:val="20"/>
                <w:szCs w:val="20"/>
              </w:rPr>
              <w:t>Burley Lagoon</w:t>
            </w:r>
          </w:p>
        </w:tc>
        <w:tc>
          <w:tcPr>
            <w:tcW w:w="1960" w:type="dxa"/>
          </w:tcPr>
          <w:p w14:paraId="69ED8F1F" w14:textId="77777777" w:rsidR="00B90508" w:rsidRPr="00B90508" w:rsidRDefault="00B90508" w:rsidP="00B90508">
            <w:pPr>
              <w:rPr>
                <w:sz w:val="20"/>
                <w:szCs w:val="20"/>
              </w:rPr>
            </w:pPr>
            <w:r w:rsidRPr="00B90508">
              <w:rPr>
                <w:sz w:val="20"/>
                <w:szCs w:val="20"/>
              </w:rPr>
              <w:t>172</w:t>
            </w:r>
          </w:p>
        </w:tc>
      </w:tr>
      <w:tr w:rsidR="00B90508" w:rsidRPr="00B90508" w14:paraId="5AD8241E" w14:textId="77777777" w:rsidTr="00B90508">
        <w:trPr>
          <w:jc w:val="center"/>
        </w:trPr>
        <w:tc>
          <w:tcPr>
            <w:tcW w:w="2720" w:type="dxa"/>
          </w:tcPr>
          <w:p w14:paraId="4A078DFA" w14:textId="77777777" w:rsidR="00B90508" w:rsidRPr="00B90508" w:rsidRDefault="00B90508" w:rsidP="00B90508">
            <w:pPr>
              <w:rPr>
                <w:sz w:val="20"/>
                <w:szCs w:val="20"/>
              </w:rPr>
            </w:pPr>
            <w:r w:rsidRPr="00B90508">
              <w:rPr>
                <w:sz w:val="20"/>
                <w:szCs w:val="20"/>
              </w:rPr>
              <w:t>Oakland Bay</w:t>
            </w:r>
          </w:p>
        </w:tc>
        <w:tc>
          <w:tcPr>
            <w:tcW w:w="1960" w:type="dxa"/>
          </w:tcPr>
          <w:p w14:paraId="1EDE8D1C" w14:textId="77777777" w:rsidR="00B90508" w:rsidRPr="00B90508" w:rsidRDefault="00B90508" w:rsidP="00B90508">
            <w:pPr>
              <w:rPr>
                <w:sz w:val="20"/>
                <w:szCs w:val="20"/>
              </w:rPr>
            </w:pPr>
            <w:r w:rsidRPr="00B90508">
              <w:rPr>
                <w:sz w:val="20"/>
                <w:szCs w:val="20"/>
              </w:rPr>
              <w:t>250</w:t>
            </w:r>
          </w:p>
        </w:tc>
      </w:tr>
      <w:tr w:rsidR="00B90508" w:rsidRPr="00B90508" w14:paraId="6FEC63A4" w14:textId="77777777" w:rsidTr="00B90508">
        <w:trPr>
          <w:jc w:val="center"/>
        </w:trPr>
        <w:tc>
          <w:tcPr>
            <w:tcW w:w="2720" w:type="dxa"/>
          </w:tcPr>
          <w:p w14:paraId="30EE6E89" w14:textId="77777777" w:rsidR="00B90508" w:rsidRPr="00B90508" w:rsidRDefault="00B90508" w:rsidP="00B90508">
            <w:pPr>
              <w:rPr>
                <w:sz w:val="20"/>
                <w:szCs w:val="20"/>
              </w:rPr>
            </w:pPr>
            <w:r w:rsidRPr="00B90508">
              <w:rPr>
                <w:sz w:val="20"/>
                <w:szCs w:val="20"/>
              </w:rPr>
              <w:t>McLane Cove</w:t>
            </w:r>
          </w:p>
        </w:tc>
        <w:tc>
          <w:tcPr>
            <w:tcW w:w="1960" w:type="dxa"/>
          </w:tcPr>
          <w:p w14:paraId="46135D3A" w14:textId="77777777" w:rsidR="00B90508" w:rsidRPr="00B90508" w:rsidRDefault="00B90508" w:rsidP="00B90508">
            <w:pPr>
              <w:rPr>
                <w:sz w:val="20"/>
                <w:szCs w:val="20"/>
              </w:rPr>
            </w:pPr>
            <w:r w:rsidRPr="00B90508">
              <w:rPr>
                <w:sz w:val="20"/>
                <w:szCs w:val="20"/>
              </w:rPr>
              <w:t>31</w:t>
            </w:r>
          </w:p>
        </w:tc>
      </w:tr>
      <w:tr w:rsidR="00B90508" w:rsidRPr="00B90508" w14:paraId="70FDB1BB" w14:textId="77777777" w:rsidTr="00B90508">
        <w:trPr>
          <w:jc w:val="center"/>
        </w:trPr>
        <w:tc>
          <w:tcPr>
            <w:tcW w:w="2720" w:type="dxa"/>
          </w:tcPr>
          <w:p w14:paraId="5AB78828" w14:textId="77777777" w:rsidR="00B90508" w:rsidRPr="00B90508" w:rsidRDefault="00B90508" w:rsidP="00B90508">
            <w:pPr>
              <w:rPr>
                <w:sz w:val="20"/>
                <w:szCs w:val="20"/>
              </w:rPr>
            </w:pPr>
            <w:r w:rsidRPr="00B90508">
              <w:rPr>
                <w:sz w:val="20"/>
                <w:szCs w:val="20"/>
              </w:rPr>
              <w:t>Henderson Inlet</w:t>
            </w:r>
          </w:p>
        </w:tc>
        <w:tc>
          <w:tcPr>
            <w:tcW w:w="1960" w:type="dxa"/>
          </w:tcPr>
          <w:p w14:paraId="4DEF50DB" w14:textId="77777777" w:rsidR="00B90508" w:rsidRPr="00B90508" w:rsidRDefault="00B90508" w:rsidP="00B90508">
            <w:pPr>
              <w:rPr>
                <w:sz w:val="20"/>
                <w:szCs w:val="20"/>
              </w:rPr>
            </w:pPr>
            <w:r w:rsidRPr="00B90508">
              <w:rPr>
                <w:sz w:val="20"/>
                <w:szCs w:val="20"/>
              </w:rPr>
              <w:t>46</w:t>
            </w:r>
          </w:p>
        </w:tc>
      </w:tr>
      <w:tr w:rsidR="00B90508" w:rsidRPr="00B90508" w14:paraId="592A0A4E" w14:textId="77777777" w:rsidTr="00B90508">
        <w:trPr>
          <w:jc w:val="center"/>
        </w:trPr>
        <w:tc>
          <w:tcPr>
            <w:tcW w:w="2720" w:type="dxa"/>
          </w:tcPr>
          <w:p w14:paraId="4F983A69" w14:textId="77777777" w:rsidR="00B90508" w:rsidRPr="00B90508" w:rsidRDefault="00B90508" w:rsidP="00B90508">
            <w:pPr>
              <w:rPr>
                <w:sz w:val="20"/>
                <w:szCs w:val="20"/>
              </w:rPr>
            </w:pPr>
            <w:r w:rsidRPr="00B90508">
              <w:rPr>
                <w:sz w:val="20"/>
                <w:szCs w:val="20"/>
              </w:rPr>
              <w:t>Rocky Bay</w:t>
            </w:r>
          </w:p>
        </w:tc>
        <w:tc>
          <w:tcPr>
            <w:tcW w:w="1960" w:type="dxa"/>
          </w:tcPr>
          <w:p w14:paraId="1E05A224" w14:textId="77777777" w:rsidR="00B90508" w:rsidRPr="00B90508" w:rsidRDefault="00B90508" w:rsidP="00B90508">
            <w:pPr>
              <w:rPr>
                <w:sz w:val="20"/>
                <w:szCs w:val="20"/>
              </w:rPr>
            </w:pPr>
            <w:r w:rsidRPr="00B90508">
              <w:rPr>
                <w:sz w:val="20"/>
                <w:szCs w:val="20"/>
              </w:rPr>
              <w:t>8</w:t>
            </w:r>
          </w:p>
        </w:tc>
      </w:tr>
      <w:tr w:rsidR="00B90508" w:rsidRPr="00B90508" w14:paraId="020738A8" w14:textId="77777777" w:rsidTr="00B90508">
        <w:trPr>
          <w:jc w:val="center"/>
        </w:trPr>
        <w:tc>
          <w:tcPr>
            <w:tcW w:w="2720" w:type="dxa"/>
          </w:tcPr>
          <w:p w14:paraId="3CDA3A43" w14:textId="77777777" w:rsidR="00B90508" w:rsidRPr="00B90508" w:rsidRDefault="00B90508" w:rsidP="00B90508">
            <w:pPr>
              <w:rPr>
                <w:sz w:val="20"/>
                <w:szCs w:val="20"/>
              </w:rPr>
            </w:pPr>
            <w:r w:rsidRPr="00B90508">
              <w:rPr>
                <w:sz w:val="20"/>
                <w:szCs w:val="20"/>
              </w:rPr>
              <w:t>Vaughn Bay</w:t>
            </w:r>
          </w:p>
        </w:tc>
        <w:tc>
          <w:tcPr>
            <w:tcW w:w="1960" w:type="dxa"/>
          </w:tcPr>
          <w:p w14:paraId="1AF9F3B5" w14:textId="77777777" w:rsidR="00B90508" w:rsidRPr="00B90508" w:rsidRDefault="00B90508" w:rsidP="00B90508">
            <w:pPr>
              <w:rPr>
                <w:sz w:val="20"/>
                <w:szCs w:val="20"/>
              </w:rPr>
            </w:pPr>
            <w:r w:rsidRPr="00B90508">
              <w:rPr>
                <w:sz w:val="20"/>
                <w:szCs w:val="20"/>
              </w:rPr>
              <w:t>54</w:t>
            </w:r>
          </w:p>
        </w:tc>
      </w:tr>
      <w:tr w:rsidR="00B90508" w:rsidRPr="00B90508" w14:paraId="0A772015" w14:textId="77777777" w:rsidTr="00B90508">
        <w:trPr>
          <w:jc w:val="center"/>
        </w:trPr>
        <w:tc>
          <w:tcPr>
            <w:tcW w:w="2720" w:type="dxa"/>
          </w:tcPr>
          <w:p w14:paraId="6A152699" w14:textId="77777777" w:rsidR="00B90508" w:rsidRPr="00B90508" w:rsidRDefault="00B90508" w:rsidP="00B90508">
            <w:pPr>
              <w:rPr>
                <w:sz w:val="20"/>
                <w:szCs w:val="20"/>
              </w:rPr>
            </w:pPr>
            <w:r w:rsidRPr="00B90508">
              <w:rPr>
                <w:sz w:val="20"/>
                <w:szCs w:val="20"/>
              </w:rPr>
              <w:t>Filucy Bay</w:t>
            </w:r>
          </w:p>
        </w:tc>
        <w:tc>
          <w:tcPr>
            <w:tcW w:w="1960" w:type="dxa"/>
          </w:tcPr>
          <w:p w14:paraId="4876A3CF" w14:textId="77777777" w:rsidR="00B90508" w:rsidRPr="00B90508" w:rsidRDefault="00B90508" w:rsidP="00B90508">
            <w:pPr>
              <w:rPr>
                <w:sz w:val="20"/>
                <w:szCs w:val="20"/>
              </w:rPr>
            </w:pPr>
            <w:r w:rsidRPr="00B90508">
              <w:rPr>
                <w:sz w:val="20"/>
                <w:szCs w:val="20"/>
              </w:rPr>
              <w:t>67</w:t>
            </w:r>
          </w:p>
        </w:tc>
      </w:tr>
      <w:tr w:rsidR="00B90508" w:rsidRPr="00B90508" w14:paraId="6FE874F7" w14:textId="77777777" w:rsidTr="00B90508">
        <w:trPr>
          <w:jc w:val="center"/>
        </w:trPr>
        <w:tc>
          <w:tcPr>
            <w:tcW w:w="2720" w:type="dxa"/>
          </w:tcPr>
          <w:p w14:paraId="17167DFA" w14:textId="77777777" w:rsidR="00B90508" w:rsidRPr="00B90508" w:rsidRDefault="00B90508" w:rsidP="00B90508">
            <w:pPr>
              <w:rPr>
                <w:sz w:val="20"/>
                <w:szCs w:val="20"/>
              </w:rPr>
            </w:pPr>
            <w:r w:rsidRPr="00B90508">
              <w:rPr>
                <w:sz w:val="20"/>
                <w:szCs w:val="20"/>
              </w:rPr>
              <w:t>Nisqually Reach</w:t>
            </w:r>
          </w:p>
        </w:tc>
        <w:tc>
          <w:tcPr>
            <w:tcW w:w="1960" w:type="dxa"/>
          </w:tcPr>
          <w:p w14:paraId="54EBAA13" w14:textId="77777777" w:rsidR="00B90508" w:rsidRPr="00B90508" w:rsidRDefault="00B90508" w:rsidP="00B90508">
            <w:pPr>
              <w:rPr>
                <w:sz w:val="20"/>
                <w:szCs w:val="20"/>
              </w:rPr>
            </w:pPr>
            <w:r w:rsidRPr="00B90508">
              <w:rPr>
                <w:sz w:val="20"/>
                <w:szCs w:val="20"/>
              </w:rPr>
              <w:t>75</w:t>
            </w:r>
          </w:p>
        </w:tc>
      </w:tr>
      <w:tr w:rsidR="00B90508" w:rsidRPr="00B90508" w14:paraId="4B6DC3CA" w14:textId="77777777" w:rsidTr="00B90508">
        <w:trPr>
          <w:jc w:val="center"/>
        </w:trPr>
        <w:tc>
          <w:tcPr>
            <w:tcW w:w="2720" w:type="dxa"/>
          </w:tcPr>
          <w:p w14:paraId="43DC0E4F" w14:textId="77777777" w:rsidR="00B90508" w:rsidRPr="00B90508" w:rsidRDefault="00B90508" w:rsidP="00B90508">
            <w:pPr>
              <w:ind w:right="144"/>
              <w:jc w:val="right"/>
              <w:rPr>
                <w:b/>
                <w:sz w:val="20"/>
                <w:szCs w:val="20"/>
              </w:rPr>
            </w:pPr>
            <w:r w:rsidRPr="00B90508">
              <w:rPr>
                <w:b/>
                <w:sz w:val="20"/>
                <w:szCs w:val="20"/>
              </w:rPr>
              <w:t>Total</w:t>
            </w:r>
          </w:p>
        </w:tc>
        <w:tc>
          <w:tcPr>
            <w:tcW w:w="1960" w:type="dxa"/>
          </w:tcPr>
          <w:p w14:paraId="6C1DB9CC" w14:textId="77777777" w:rsidR="00B90508" w:rsidRPr="00B90508" w:rsidRDefault="00B90508" w:rsidP="00B90508">
            <w:pPr>
              <w:rPr>
                <w:b/>
                <w:sz w:val="20"/>
                <w:szCs w:val="20"/>
              </w:rPr>
            </w:pPr>
            <w:r w:rsidRPr="00B90508">
              <w:rPr>
                <w:b/>
                <w:sz w:val="20"/>
                <w:szCs w:val="20"/>
              </w:rPr>
              <w:t>703</w:t>
            </w:r>
          </w:p>
        </w:tc>
      </w:tr>
    </w:tbl>
    <w:p w14:paraId="4CFCFFD0" w14:textId="77777777" w:rsidR="00B90508" w:rsidRPr="00B90508" w:rsidRDefault="00B90508" w:rsidP="00B90508">
      <w:pPr>
        <w:spacing w:before="240" w:line="276" w:lineRule="auto"/>
        <w:ind w:left="360"/>
        <w:rPr>
          <w:rFonts w:eastAsiaTheme="minorEastAsia"/>
        </w:rPr>
      </w:pPr>
      <w:r w:rsidRPr="00B90508">
        <w:rPr>
          <w:rFonts w:ascii="Calibri" w:eastAsia="Calibri" w:hAnsi="Calibri" w:cs="Calibri"/>
        </w:rPr>
        <w:lastRenderedPageBreak/>
        <w:t>The cost for upgrading (or being on target to upgrade) 100 acres of Conditional or Restricted shellfish growing area from the potential acres above is estimated at $5.7 million.</w:t>
      </w:r>
    </w:p>
    <w:p w14:paraId="20EEA9D4" w14:textId="77777777" w:rsidR="00B90508" w:rsidRPr="00B90508" w:rsidRDefault="00B90508" w:rsidP="00B90508">
      <w:pPr>
        <w:numPr>
          <w:ilvl w:val="0"/>
          <w:numId w:val="43"/>
        </w:numPr>
        <w:spacing w:after="0" w:line="276" w:lineRule="auto"/>
        <w:ind w:left="360" w:hanging="360"/>
        <w:contextualSpacing/>
        <w:rPr>
          <w:rFonts w:ascii="Calibri" w:eastAsia="Calibri" w:hAnsi="Calibri" w:cs="Calibri"/>
        </w:rPr>
      </w:pPr>
      <w:r w:rsidRPr="00B90508">
        <w:rPr>
          <w:rFonts w:ascii="Calibri" w:eastAsia="Calibri" w:hAnsi="Calibri" w:cs="Calibri"/>
        </w:rPr>
        <w:t xml:space="preserve">The </w:t>
      </w:r>
      <w:r w:rsidRPr="00B90508">
        <w:rPr>
          <w:rFonts w:ascii="Calibri" w:eastAsia="Calibri" w:hAnsi="Calibri" w:cs="Calibri"/>
          <w:b/>
        </w:rPr>
        <w:t>Thurston County urban septic to sewer conversion</w:t>
      </w:r>
      <w:r w:rsidRPr="00B90508">
        <w:rPr>
          <w:rFonts w:ascii="Calibri" w:eastAsia="Calibri" w:hAnsi="Calibri" w:cs="Calibri"/>
        </w:rPr>
        <w:t xml:space="preserve"> project is an effort to protect shellfish growing areas through public outreach, code and policy development, and city-specific implementation plans to adopt the conversion program. The cost estimate for phase 1 of this NTA is approximately $180,000.</w:t>
      </w:r>
    </w:p>
    <w:p w14:paraId="7EF5E6A1" w14:textId="77777777" w:rsidR="00B90508" w:rsidRPr="00B90508" w:rsidRDefault="00B90508" w:rsidP="00B90508">
      <w:pPr>
        <w:spacing w:line="276" w:lineRule="auto"/>
        <w:rPr>
          <w:rFonts w:ascii="Calibri" w:eastAsia="Calibri" w:hAnsi="Calibri" w:cs="Calibri"/>
        </w:rPr>
      </w:pPr>
      <w:r w:rsidRPr="00B90508">
        <w:rPr>
          <w:rFonts w:ascii="Calibri" w:eastAsia="Calibri" w:hAnsi="Calibri" w:cs="Calibri"/>
        </w:rPr>
        <w:br w:type="page"/>
      </w:r>
    </w:p>
    <w:p w14:paraId="3A9DACAB"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307" w:name="_Toc463000028"/>
      <w:r w:rsidRPr="00B90508">
        <w:rPr>
          <w:rFonts w:eastAsiaTheme="majorEastAsia" w:cstheme="minorHAnsi"/>
          <w:b/>
          <w:color w:val="FFFFFF" w:themeColor="background1"/>
          <w:sz w:val="36"/>
          <w:szCs w:val="36"/>
        </w:rPr>
        <w:lastRenderedPageBreak/>
        <w:t>Salmon</w:t>
      </w:r>
      <w:bookmarkEnd w:id="307"/>
    </w:p>
    <w:p w14:paraId="4DF5F177"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08" w:name="_Toc463000029"/>
      <w:r w:rsidRPr="00B90508">
        <w:rPr>
          <w:rFonts w:asciiTheme="majorHAnsi" w:eastAsiaTheme="majorEastAsia" w:hAnsiTheme="majorHAnsi" w:cstheme="majorBidi"/>
          <w:color w:val="2B5A8E"/>
          <w:sz w:val="32"/>
          <w:szCs w:val="32"/>
          <w:u w:color="33CC33"/>
        </w:rPr>
        <w:t>Background</w:t>
      </w:r>
      <w:bookmarkEnd w:id="308"/>
    </w:p>
    <w:p w14:paraId="6F3D37CC" w14:textId="77777777" w:rsidR="00B90508" w:rsidRPr="00B90508" w:rsidRDefault="00B90508" w:rsidP="00B90508">
      <w:pPr>
        <w:spacing w:after="120" w:line="276" w:lineRule="auto"/>
        <w:rPr>
          <w:rFonts w:eastAsiaTheme="minorEastAsia"/>
        </w:rPr>
      </w:pPr>
      <w:r w:rsidRPr="00B90508">
        <w:rPr>
          <w:rFonts w:eastAsiaTheme="minorEastAsia"/>
        </w:rPr>
        <w:t xml:space="preserve">South Puget Sound is home to ten species of native salmon, and is a documented feeding ground for stocks from other Puget Sound waters, which dip into the South Sound to feed. Salmon are a favorite food of orcas, are highly prized by anglers and commercial fisherman, and are an important cultural and economic resource for tribes. </w:t>
      </w:r>
    </w:p>
    <w:p w14:paraId="1A927796"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09" w:name="_Toc463000030"/>
      <w:r w:rsidRPr="00B90508">
        <w:rPr>
          <w:rFonts w:asciiTheme="majorHAnsi" w:eastAsiaTheme="majorEastAsia" w:hAnsiTheme="majorHAnsi" w:cstheme="majorBidi"/>
          <w:color w:val="2B5A8E"/>
          <w:sz w:val="32"/>
          <w:szCs w:val="32"/>
          <w:u w:color="33CC33"/>
        </w:rPr>
        <w:t>Baseline and Status</w:t>
      </w:r>
      <w:bookmarkEnd w:id="309"/>
    </w:p>
    <w:p w14:paraId="00026D51" w14:textId="77777777" w:rsidR="00B90508" w:rsidRPr="00B90508" w:rsidRDefault="00B90508" w:rsidP="00B90508">
      <w:pPr>
        <w:spacing w:line="276" w:lineRule="auto"/>
        <w:rPr>
          <w:rFonts w:eastAsiaTheme="minorEastAsia"/>
        </w:rPr>
      </w:pPr>
      <w:r w:rsidRPr="00B90508">
        <w:rPr>
          <w:rFonts w:eastAsiaTheme="minorEastAsia"/>
        </w:rPr>
        <w:t xml:space="preserve">There are over 500 miles of salmonid-bearing streams in the South Sound with documented presence of Chinook, coho, sockeye, chum, and pink salmon as well as steelhead and bull trout (Figure X). The McNeil Island and Budd Inlet areas have the least amount (1.1 miles and 5.3 miles) and Nisqually watershed has the most extensive presence (189 miles) (Table X). </w:t>
      </w:r>
    </w:p>
    <w:p w14:paraId="78287C43" w14:textId="77777777" w:rsidR="00B90508" w:rsidRPr="00B90508" w:rsidRDefault="00B90508" w:rsidP="00B90508">
      <w:pPr>
        <w:spacing w:after="0" w:line="276" w:lineRule="auto"/>
        <w:jc w:val="center"/>
        <w:rPr>
          <w:rFonts w:eastAsiaTheme="minorEastAsia"/>
        </w:rPr>
      </w:pPr>
      <w:r w:rsidRPr="00B90508">
        <w:rPr>
          <w:rFonts w:eastAsiaTheme="minorEastAsia"/>
          <w:noProof/>
        </w:rPr>
        <w:drawing>
          <wp:inline distT="0" distB="0" distL="0" distR="0" wp14:anchorId="15346426" wp14:editId="15F2C379">
            <wp:extent cx="5947410" cy="4714875"/>
            <wp:effectExtent l="19050" t="19050" r="15240" b="28575"/>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5947410" cy="4714875"/>
                    </a:xfrm>
                    <a:prstGeom prst="rect">
                      <a:avLst/>
                    </a:prstGeom>
                    <a:noFill/>
                    <a:ln w="3175" cmpd="sng">
                      <a:solidFill>
                        <a:srgbClr val="000000"/>
                      </a:solidFill>
                      <a:miter lim="800000"/>
                      <a:headEnd/>
                      <a:tailEnd/>
                    </a:ln>
                    <a:effectLst/>
                  </pic:spPr>
                </pic:pic>
              </a:graphicData>
            </a:graphic>
          </wp:inline>
        </w:drawing>
      </w:r>
    </w:p>
    <w:p w14:paraId="44340D41"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 xml:space="preserve">Figure X. Documented Salmonid Presence – Key Species (Washington Department of Fish and Wildlife Statewide </w:t>
      </w:r>
      <w:r w:rsidRPr="00B90508">
        <w:rPr>
          <w:rFonts w:ascii="Calibri" w:eastAsia="Calibri" w:hAnsi="Calibri" w:cs="Calibri"/>
          <w:b/>
          <w:sz w:val="18"/>
        </w:rPr>
        <w:br/>
        <w:t>Integrated Fish Distribution)</w:t>
      </w:r>
    </w:p>
    <w:p w14:paraId="1BED4212" w14:textId="77777777" w:rsidR="00B90508" w:rsidRPr="00B90508" w:rsidRDefault="00B90508" w:rsidP="00B90508">
      <w:pPr>
        <w:spacing w:after="120" w:line="276" w:lineRule="auto"/>
        <w:rPr>
          <w:rFonts w:eastAsiaTheme="minorEastAsia"/>
        </w:rPr>
      </w:pPr>
      <w:r w:rsidRPr="00B90508">
        <w:rPr>
          <w:rFonts w:eastAsiaTheme="minorEastAsia"/>
        </w:rPr>
        <w:lastRenderedPageBreak/>
        <w:t>The following tables summarize documented presence, spawning, and rearing within each upland assessment units for four key salmonid species: bull trout, Chinook salmon, coho salmon, and steelhead trout. The Nisqually watershed is the only assessment unit with documented bull trout presence. Spawning coho salmon have been documented in most areas while Chinook and steelhead trout are limited to only a few watersheds. There is no documented spawning or rearing bull trout in any of the watersheds.</w:t>
      </w:r>
    </w:p>
    <w:p w14:paraId="780C5CA4"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t>Table X. Documented Presence of Key Salmonid Species by Assessment Unit</w:t>
      </w:r>
    </w:p>
    <w:p w14:paraId="0D4AF0F3" w14:textId="77777777" w:rsidR="00B90508" w:rsidRPr="00B90508" w:rsidRDefault="00B90508" w:rsidP="00B90508">
      <w:pPr>
        <w:spacing w:after="120" w:line="276" w:lineRule="auto"/>
        <w:jc w:val="center"/>
        <w:rPr>
          <w:rFonts w:eastAsiaTheme="minorEastAsia"/>
        </w:rPr>
      </w:pPr>
      <w:r w:rsidRPr="00B90508">
        <w:rPr>
          <w:rFonts w:eastAsiaTheme="minorEastAsia"/>
          <w:noProof/>
        </w:rPr>
        <w:drawing>
          <wp:inline distT="0" distB="0" distL="0" distR="0" wp14:anchorId="1D41BF3E" wp14:editId="7E526F88">
            <wp:extent cx="5486400" cy="2050362"/>
            <wp:effectExtent l="19050" t="19050" r="19050" b="266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486400" cy="2050362"/>
                    </a:xfrm>
                    <a:prstGeom prst="rect">
                      <a:avLst/>
                    </a:prstGeom>
                    <a:noFill/>
                    <a:ln w="3175" cmpd="sng">
                      <a:solidFill>
                        <a:srgbClr val="000000"/>
                      </a:solidFill>
                      <a:miter lim="800000"/>
                      <a:headEnd/>
                      <a:tailEnd/>
                    </a:ln>
                    <a:effectLst/>
                  </pic:spPr>
                </pic:pic>
              </a:graphicData>
            </a:graphic>
          </wp:inline>
        </w:drawing>
      </w:r>
    </w:p>
    <w:p w14:paraId="0F0A4703" w14:textId="77777777" w:rsidR="00B90508" w:rsidRPr="00B90508" w:rsidRDefault="00B90508" w:rsidP="00B90508">
      <w:pPr>
        <w:spacing w:after="120" w:line="276" w:lineRule="auto"/>
        <w:jc w:val="center"/>
        <w:rPr>
          <w:rFonts w:eastAsiaTheme="minorEastAsia"/>
        </w:rPr>
      </w:pPr>
      <w:r w:rsidRPr="00B90508">
        <w:rPr>
          <w:rFonts w:eastAsiaTheme="minorEastAsia"/>
          <w:noProof/>
        </w:rPr>
        <w:drawing>
          <wp:inline distT="0" distB="0" distL="0" distR="0" wp14:anchorId="3B8DB595" wp14:editId="467BF4AA">
            <wp:extent cx="5486400" cy="3249104"/>
            <wp:effectExtent l="19050" t="19050" r="19050" b="2794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486400" cy="3249104"/>
                    </a:xfrm>
                    <a:prstGeom prst="rect">
                      <a:avLst/>
                    </a:prstGeom>
                    <a:noFill/>
                    <a:ln w="3175" cmpd="sng">
                      <a:solidFill>
                        <a:srgbClr val="000000"/>
                      </a:solidFill>
                      <a:miter lim="800000"/>
                      <a:headEnd/>
                      <a:tailEnd/>
                    </a:ln>
                    <a:effectLst/>
                  </pic:spPr>
                </pic:pic>
              </a:graphicData>
            </a:graphic>
          </wp:inline>
        </w:drawing>
      </w:r>
    </w:p>
    <w:p w14:paraId="1853026D"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lastRenderedPageBreak/>
        <w:t>Table X. Documented Spawning of Key Salmonid Species by Assessment Unit</w:t>
      </w:r>
    </w:p>
    <w:p w14:paraId="4390DC40" w14:textId="77777777" w:rsidR="00B90508" w:rsidRPr="00B90508" w:rsidRDefault="00B90508" w:rsidP="00B90508">
      <w:pPr>
        <w:spacing w:after="120" w:line="276" w:lineRule="auto"/>
        <w:jc w:val="center"/>
        <w:rPr>
          <w:rFonts w:eastAsiaTheme="minorEastAsia"/>
        </w:rPr>
      </w:pPr>
      <w:r w:rsidRPr="00B90508">
        <w:rPr>
          <w:rFonts w:eastAsiaTheme="minorEastAsia"/>
          <w:noProof/>
        </w:rPr>
        <w:drawing>
          <wp:inline distT="0" distB="0" distL="0" distR="0" wp14:anchorId="1C65E7F0" wp14:editId="0C7FB549">
            <wp:extent cx="5486400" cy="2072062"/>
            <wp:effectExtent l="19050" t="19050" r="19050" b="2349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486400" cy="2072062"/>
                    </a:xfrm>
                    <a:prstGeom prst="rect">
                      <a:avLst/>
                    </a:prstGeom>
                    <a:noFill/>
                    <a:ln w="3175" cmpd="sng">
                      <a:solidFill>
                        <a:srgbClr val="000000"/>
                      </a:solidFill>
                      <a:miter lim="800000"/>
                      <a:headEnd/>
                      <a:tailEnd/>
                    </a:ln>
                    <a:effectLst/>
                  </pic:spPr>
                </pic:pic>
              </a:graphicData>
            </a:graphic>
          </wp:inline>
        </w:drawing>
      </w:r>
      <w:r w:rsidRPr="00B90508">
        <w:rPr>
          <w:rFonts w:eastAsiaTheme="minorEastAsia"/>
        </w:rPr>
        <w:br/>
      </w:r>
    </w:p>
    <w:p w14:paraId="275E561F" w14:textId="77777777" w:rsidR="00B90508" w:rsidRPr="00B90508" w:rsidRDefault="00B90508" w:rsidP="00B90508">
      <w:pPr>
        <w:keepNext/>
        <w:spacing w:before="100" w:after="100" w:line="276" w:lineRule="auto"/>
        <w:jc w:val="center"/>
        <w:rPr>
          <w:rFonts w:ascii="Calibri" w:eastAsia="Calibri" w:hAnsi="Calibri" w:cs="Calibri"/>
          <w:b/>
          <w:sz w:val="18"/>
        </w:rPr>
      </w:pPr>
      <w:r w:rsidRPr="00B90508">
        <w:rPr>
          <w:rFonts w:ascii="Calibri" w:eastAsia="Calibri" w:hAnsi="Calibri" w:cs="Calibri"/>
          <w:b/>
          <w:sz w:val="18"/>
        </w:rPr>
        <w:t>Table X. Documented Rearing of Key Salmonid Species by Assessment Unit</w:t>
      </w:r>
    </w:p>
    <w:p w14:paraId="691AB90D" w14:textId="77777777" w:rsidR="00B90508" w:rsidRPr="00B90508" w:rsidRDefault="00B90508" w:rsidP="00B90508">
      <w:pPr>
        <w:spacing w:after="120" w:line="276" w:lineRule="auto"/>
        <w:jc w:val="center"/>
        <w:rPr>
          <w:rFonts w:eastAsiaTheme="minorEastAsia"/>
        </w:rPr>
      </w:pPr>
      <w:r w:rsidRPr="00B90508">
        <w:rPr>
          <w:rFonts w:eastAsiaTheme="minorEastAsia"/>
          <w:noProof/>
        </w:rPr>
        <w:drawing>
          <wp:inline distT="0" distB="0" distL="0" distR="0" wp14:anchorId="1A5A75DB" wp14:editId="1B681F36">
            <wp:extent cx="5486400" cy="2065505"/>
            <wp:effectExtent l="19050" t="19050" r="19050" b="1143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486400" cy="2065505"/>
                    </a:xfrm>
                    <a:prstGeom prst="rect">
                      <a:avLst/>
                    </a:prstGeom>
                    <a:noFill/>
                    <a:ln w="3175" cmpd="sng">
                      <a:solidFill>
                        <a:srgbClr val="000000"/>
                      </a:solidFill>
                      <a:miter lim="800000"/>
                      <a:headEnd/>
                      <a:tailEnd/>
                    </a:ln>
                    <a:effectLst/>
                  </pic:spPr>
                </pic:pic>
              </a:graphicData>
            </a:graphic>
          </wp:inline>
        </w:drawing>
      </w:r>
    </w:p>
    <w:p w14:paraId="413A271A" w14:textId="77777777" w:rsidR="00B90508" w:rsidRPr="00B90508" w:rsidRDefault="00B90508" w:rsidP="00B90508">
      <w:pPr>
        <w:spacing w:after="120" w:line="276" w:lineRule="auto"/>
        <w:rPr>
          <w:rFonts w:eastAsiaTheme="minorEastAsia"/>
        </w:rPr>
      </w:pPr>
    </w:p>
    <w:p w14:paraId="6EFAE231" w14:textId="77777777" w:rsidR="00B90508" w:rsidRPr="00B90508" w:rsidRDefault="00B90508" w:rsidP="00B90508">
      <w:pPr>
        <w:spacing w:after="120" w:line="276" w:lineRule="auto"/>
        <w:rPr>
          <w:rFonts w:eastAsiaTheme="minorEastAsia"/>
          <w:b/>
          <w:bCs/>
          <w:i/>
          <w:iCs/>
          <w:color w:val="2E74B5" w:themeColor="accent1" w:themeShade="BF"/>
        </w:rPr>
      </w:pPr>
      <w:r w:rsidRPr="00B90508">
        <w:rPr>
          <w:rFonts w:eastAsiaTheme="minorEastAsia"/>
          <w:b/>
          <w:bCs/>
          <w:i/>
          <w:iCs/>
          <w:color w:val="2E74B5" w:themeColor="accent1" w:themeShade="BF"/>
        </w:rPr>
        <w:t xml:space="preserve">[9/30: Reviewers – if there is finer resolution or more up-to-date information on salmon presence and habitat use, or different salmon information, that we should include, please let us know we can include it or substitute it for the WDFW data. It is helpful if the information covers the entire South Sound. Where it doesn’t cover the entire South Sound we have a difficult time piecing together map.] </w:t>
      </w:r>
    </w:p>
    <w:p w14:paraId="29C45229"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10" w:name="_Toc463000031"/>
      <w:r w:rsidRPr="00B90508">
        <w:rPr>
          <w:rFonts w:asciiTheme="majorHAnsi" w:eastAsiaTheme="majorEastAsia" w:hAnsiTheme="majorHAnsi" w:cstheme="majorBidi"/>
          <w:color w:val="2B5A8E"/>
          <w:sz w:val="32"/>
          <w:szCs w:val="32"/>
          <w:u w:color="33CC33"/>
        </w:rPr>
        <w:t>Strategies, Existing Programs, and Actions</w:t>
      </w:r>
      <w:bookmarkEnd w:id="310"/>
    </w:p>
    <w:p w14:paraId="6B90B925" w14:textId="77777777" w:rsidR="00B90508" w:rsidRPr="00B90508" w:rsidRDefault="00B90508" w:rsidP="00B90508">
      <w:pPr>
        <w:spacing w:line="276" w:lineRule="auto"/>
        <w:rPr>
          <w:rFonts w:eastAsiaTheme="minorEastAsia"/>
        </w:rPr>
      </w:pPr>
      <w:r w:rsidRPr="00B90508">
        <w:rPr>
          <w:rFonts w:eastAsiaTheme="minorEastAsia"/>
        </w:rPr>
        <w:t xml:space="preserve">Salmon recovery work in the South Sound is longstanding. Current strategies and priorities for salmon recovery are defined by the South Sound Lead Entity groups in their recovery plans and strategy documents and updated yearly in rolling four year workplans which define and prioritize specific actions that will further salmon recovery. </w:t>
      </w:r>
    </w:p>
    <w:p w14:paraId="2A1BC0DF" w14:textId="77777777" w:rsidR="00B90508" w:rsidRPr="00B90508" w:rsidRDefault="00B90508" w:rsidP="00B90508">
      <w:pPr>
        <w:spacing w:line="276" w:lineRule="auto"/>
        <w:rPr>
          <w:rFonts w:eastAsiaTheme="minorEastAsia"/>
        </w:rPr>
      </w:pPr>
      <w:r w:rsidRPr="00B90508">
        <w:rPr>
          <w:rFonts w:eastAsiaTheme="minorEastAsia"/>
        </w:rPr>
        <w:t xml:space="preserve">The South Sound Strategy is intended to reinforce and complement to existing salmon recovery plans. These plans, and related documents establish specific targets for salmon recovery, which the Alliance endorses and supports. </w:t>
      </w:r>
    </w:p>
    <w:p w14:paraId="05C2EB61" w14:textId="77777777" w:rsidR="00B90508" w:rsidRPr="00B90508" w:rsidRDefault="00B90508" w:rsidP="00B90508">
      <w:pPr>
        <w:spacing w:line="276" w:lineRule="auto"/>
        <w:rPr>
          <w:rFonts w:eastAsiaTheme="minorEastAsia"/>
        </w:rPr>
      </w:pPr>
    </w:p>
    <w:p w14:paraId="21CC9CD7" w14:textId="77777777" w:rsidR="00B90508" w:rsidRPr="00B90508" w:rsidRDefault="00B90508" w:rsidP="00B90508">
      <w:pPr>
        <w:spacing w:line="276" w:lineRule="auto"/>
        <w:rPr>
          <w:rFonts w:eastAsiaTheme="minorEastAsia"/>
        </w:rPr>
      </w:pPr>
      <w:r w:rsidRPr="00B90508">
        <w:rPr>
          <w:rFonts w:eastAsiaTheme="minorEastAsia"/>
        </w:rPr>
        <w:t xml:space="preserve">We expect that the salmon recovery work and priorities will continue to be a key driver for South Sound protection and recovery and that many of the projects that come forward for Alliance consideration and endorsement will have their origin in the salmon recovery work. </w:t>
      </w:r>
    </w:p>
    <w:p w14:paraId="41A9AB36" w14:textId="77777777" w:rsidR="00B90508" w:rsidRPr="00B90508" w:rsidRDefault="00B90508" w:rsidP="00B90508">
      <w:pPr>
        <w:spacing w:after="120" w:line="276" w:lineRule="auto"/>
        <w:rPr>
          <w:rFonts w:eastAsiaTheme="minorEastAsia"/>
        </w:rPr>
      </w:pPr>
      <w:r w:rsidRPr="00B90508">
        <w:rPr>
          <w:rFonts w:eastAsiaTheme="minorEastAsia"/>
        </w:rPr>
        <w:t xml:space="preserve">Key salmon recovery documents in the South Sound include: </w:t>
      </w:r>
      <w:r w:rsidRPr="00B90508">
        <w:rPr>
          <w:rFonts w:eastAsiaTheme="minorEastAsia"/>
          <w:b/>
          <w:bCs/>
          <w:i/>
          <w:iCs/>
          <w:color w:val="2E74B5" w:themeColor="accent1" w:themeShade="BF"/>
        </w:rPr>
        <w:t>[9/30: List the local salmon recovery plans here]</w:t>
      </w:r>
    </w:p>
    <w:p w14:paraId="251A1EEB" w14:textId="77777777" w:rsidR="00B90508" w:rsidRPr="00B90508" w:rsidRDefault="00B90508" w:rsidP="00B90508">
      <w:pPr>
        <w:spacing w:after="120" w:line="276" w:lineRule="auto"/>
        <w:rPr>
          <w:rFonts w:eastAsiaTheme="minorEastAsia"/>
          <w:b/>
          <w:bCs/>
          <w:i/>
          <w:iCs/>
          <w:color w:val="2E74B5" w:themeColor="accent1" w:themeShade="BF"/>
        </w:rPr>
      </w:pPr>
      <w:r w:rsidRPr="00B90508">
        <w:rPr>
          <w:rFonts w:eastAsiaTheme="minorEastAsia"/>
          <w:b/>
          <w:bCs/>
          <w:i/>
          <w:iCs/>
          <w:color w:val="2E74B5" w:themeColor="accent1" w:themeShade="BF"/>
        </w:rPr>
        <w:t>[9/30 Reviewers: more on salmon? More specifics? Fewer? How can the South Sound Strategy best complement (and not duplicate) salmon recovery plans?]</w:t>
      </w:r>
    </w:p>
    <w:p w14:paraId="7620F136" w14:textId="77777777" w:rsidR="00B90508" w:rsidRPr="00B90508" w:rsidRDefault="00B90508" w:rsidP="00B90508">
      <w:pPr>
        <w:spacing w:after="120" w:line="276" w:lineRule="auto"/>
        <w:rPr>
          <w:rFonts w:eastAsiaTheme="minorEastAsia"/>
        </w:rPr>
        <w:sectPr w:rsidR="00B90508" w:rsidRPr="00B90508" w:rsidSect="00B90508">
          <w:pgSz w:w="12240" w:h="15840"/>
          <w:pgMar w:top="1440" w:right="1440" w:bottom="1440" w:left="1440" w:header="720" w:footer="720" w:gutter="0"/>
          <w:cols w:space="720"/>
        </w:sectPr>
      </w:pPr>
    </w:p>
    <w:p w14:paraId="68D2AEA2"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311" w:name="_Toc463000032"/>
      <w:r w:rsidRPr="00B90508">
        <w:rPr>
          <w:rFonts w:eastAsiaTheme="majorEastAsia" w:cstheme="minorHAnsi"/>
          <w:b/>
          <w:color w:val="FFFFFF" w:themeColor="background1"/>
          <w:sz w:val="36"/>
          <w:szCs w:val="36"/>
        </w:rPr>
        <w:lastRenderedPageBreak/>
        <w:t>How to Use the South Sound Strategy</w:t>
      </w:r>
      <w:bookmarkEnd w:id="311"/>
    </w:p>
    <w:p w14:paraId="75826D2B" w14:textId="77777777" w:rsidR="00B90508" w:rsidRPr="00B90508" w:rsidRDefault="00B90508" w:rsidP="00B90508">
      <w:pPr>
        <w:spacing w:line="276" w:lineRule="auto"/>
        <w:rPr>
          <w:rFonts w:eastAsiaTheme="minorEastAsia"/>
        </w:rPr>
      </w:pPr>
      <w:r w:rsidRPr="00B90508">
        <w:rPr>
          <w:rFonts w:eastAsiaTheme="minorEastAsia"/>
        </w:rPr>
        <w:t>AHSS will use the South Sound Strategy to facilitate broad conversations about the work needed to protect and restore the South Puget Sound and to inform selection of projects to endorse and advocate for. Currently the Alliance (like other LIOs) controls very little project funding; however, we are hopeful that this will change over time and, as it does, we anticipate using the Strategy to inform funding decisions.</w:t>
      </w:r>
    </w:p>
    <w:p w14:paraId="27A2EF2D" w14:textId="77777777" w:rsidR="00B90508" w:rsidRPr="00B90508" w:rsidRDefault="00B90508" w:rsidP="00B90508">
      <w:pPr>
        <w:spacing w:line="276" w:lineRule="auto"/>
        <w:rPr>
          <w:rFonts w:eastAsiaTheme="minorEastAsia"/>
        </w:rPr>
      </w:pPr>
      <w:r w:rsidRPr="00B90508">
        <w:rPr>
          <w:rFonts w:eastAsiaTheme="minorEastAsia"/>
        </w:rPr>
        <w:t xml:space="preserve">AHSS encourages and welcomes the opportunity to endorse and advocate for projects that are consistent with this strategy. We are particularly interested in projects that accomplish habitat protection and restoration, protection and restoration or shellfish beds, and stormwater reduction and control. All actions proposed for AHSS endorsement should demonstrate a sound scientific and technical basis. Nearshore projects that are located outside the catchments identified as a priority for protection and restoration in the South Sound Coastal Catchment Assessment should document that they are (1) in priority nearshore salmon habitat or (2) describe how the project considers the condition of its catchment and the surrounding catchments and why it is anticipated to be successful over time. In general the Alliance believes that, for smaller projects, the focus should be in catchments identified as a priority for protection and restoration and/or priority nearshore salmon habitat. </w:t>
      </w:r>
    </w:p>
    <w:p w14:paraId="30BE6232" w14:textId="77777777" w:rsidR="00B90508" w:rsidRPr="00B90508" w:rsidRDefault="00B90508" w:rsidP="00B90508">
      <w:pPr>
        <w:spacing w:line="276" w:lineRule="auto"/>
        <w:rPr>
          <w:rFonts w:eastAsiaTheme="minorEastAsia"/>
        </w:rPr>
      </w:pPr>
      <w:r w:rsidRPr="00B90508">
        <w:rPr>
          <w:rFonts w:eastAsiaTheme="minorEastAsia"/>
        </w:rPr>
        <w:t xml:space="preserve">In general, AHSS uses a 2-step technical review process to make decisions about which projects to endorse. This process is available at any time; project proponents can initiate review by completing a project information sheet through the AHSS website and requesting endorsement. </w:t>
      </w:r>
    </w:p>
    <w:p w14:paraId="12C9F1A2" w14:textId="77777777" w:rsidR="00B90508" w:rsidRPr="00B90508" w:rsidRDefault="00B90508" w:rsidP="00B90508">
      <w:pPr>
        <w:spacing w:line="276" w:lineRule="auto"/>
        <w:rPr>
          <w:rFonts w:eastAsiaTheme="minorEastAsia"/>
        </w:rPr>
      </w:pPr>
      <w:r w:rsidRPr="00B90508">
        <w:rPr>
          <w:rFonts w:eastAsiaTheme="minorEastAsia"/>
          <w:b/>
        </w:rPr>
        <w:t>Step 1: Benefit review</w:t>
      </w:r>
      <w:r w:rsidRPr="00B90508">
        <w:rPr>
          <w:rFonts w:eastAsiaTheme="minorEastAsia"/>
        </w:rPr>
        <w:t xml:space="preserve"> – The action will be evaluated considering the geographic scale (size of area affected by the action) and intensity (degree or strength of the effect of the action), with projects that restore (or halt a threat to) part of the ecosystem over a larger area (geographic scale) to a greater extent (intensity) ranking higher. The following scoring criteria will be used:</w:t>
      </w:r>
    </w:p>
    <w:p w14:paraId="684782AE" w14:textId="77777777" w:rsidR="00B90508" w:rsidRPr="00B90508" w:rsidRDefault="00B90508" w:rsidP="00B90508">
      <w:pPr>
        <w:numPr>
          <w:ilvl w:val="0"/>
          <w:numId w:val="39"/>
        </w:numPr>
        <w:spacing w:line="276" w:lineRule="auto"/>
        <w:contextualSpacing/>
        <w:rPr>
          <w:rFonts w:eastAsiaTheme="minorEastAsia"/>
        </w:rPr>
      </w:pPr>
      <w:r w:rsidRPr="00B90508">
        <w:rPr>
          <w:rFonts w:eastAsiaTheme="minorEastAsia"/>
        </w:rPr>
        <w:t>Scale:</w:t>
      </w:r>
    </w:p>
    <w:p w14:paraId="1A6D3B35" w14:textId="77777777" w:rsidR="00B90508" w:rsidRPr="00B90508" w:rsidRDefault="00B90508" w:rsidP="00B90508">
      <w:pPr>
        <w:numPr>
          <w:ilvl w:val="0"/>
          <w:numId w:val="36"/>
        </w:numPr>
        <w:spacing w:line="276" w:lineRule="auto"/>
        <w:contextualSpacing/>
        <w:rPr>
          <w:rFonts w:eastAsiaTheme="minorEastAsia"/>
        </w:rPr>
      </w:pPr>
      <w:r w:rsidRPr="00B90508">
        <w:rPr>
          <w:rFonts w:eastAsiaTheme="minorEastAsia"/>
        </w:rPr>
        <w:t>1 = action addresses the entire South Puget Sound region</w:t>
      </w:r>
    </w:p>
    <w:p w14:paraId="6B852C9A" w14:textId="77777777" w:rsidR="00B90508" w:rsidRPr="00B90508" w:rsidRDefault="00B90508" w:rsidP="00B90508">
      <w:pPr>
        <w:numPr>
          <w:ilvl w:val="0"/>
          <w:numId w:val="36"/>
        </w:numPr>
        <w:spacing w:line="276" w:lineRule="auto"/>
        <w:contextualSpacing/>
        <w:rPr>
          <w:rFonts w:eastAsiaTheme="minorEastAsia"/>
        </w:rPr>
      </w:pPr>
      <w:r w:rsidRPr="00B90508">
        <w:rPr>
          <w:rFonts w:eastAsiaTheme="minorEastAsia"/>
        </w:rPr>
        <w:t>2 = action addresses a watershed/inlet/island</w:t>
      </w:r>
    </w:p>
    <w:p w14:paraId="6F0D13AB" w14:textId="77777777" w:rsidR="00B90508" w:rsidRPr="00B90508" w:rsidRDefault="00B90508" w:rsidP="00B90508">
      <w:pPr>
        <w:numPr>
          <w:ilvl w:val="0"/>
          <w:numId w:val="36"/>
        </w:numPr>
        <w:spacing w:line="276" w:lineRule="auto"/>
        <w:contextualSpacing/>
        <w:rPr>
          <w:rFonts w:eastAsiaTheme="minorEastAsia"/>
        </w:rPr>
      </w:pPr>
      <w:r w:rsidRPr="00B90508">
        <w:rPr>
          <w:rFonts w:eastAsiaTheme="minorEastAsia"/>
        </w:rPr>
        <w:t>3 = action addresses a subwatershed/subinlet/shoreline reach</w:t>
      </w:r>
    </w:p>
    <w:p w14:paraId="63B86D8C" w14:textId="77777777" w:rsidR="00B90508" w:rsidRPr="00B90508" w:rsidRDefault="00B90508" w:rsidP="00B90508">
      <w:pPr>
        <w:numPr>
          <w:ilvl w:val="0"/>
          <w:numId w:val="36"/>
        </w:numPr>
        <w:spacing w:line="276" w:lineRule="auto"/>
        <w:rPr>
          <w:rFonts w:eastAsiaTheme="minorEastAsia"/>
        </w:rPr>
      </w:pPr>
      <w:r w:rsidRPr="00B90508">
        <w:rPr>
          <w:rFonts w:eastAsiaTheme="minorEastAsia"/>
        </w:rPr>
        <w:t>4 = action is small, e.g., less than 10 acre, pocket estuary</w:t>
      </w:r>
    </w:p>
    <w:p w14:paraId="354F7963" w14:textId="77777777" w:rsidR="00B90508" w:rsidRPr="00B90508" w:rsidRDefault="00B90508" w:rsidP="00B90508">
      <w:pPr>
        <w:numPr>
          <w:ilvl w:val="0"/>
          <w:numId w:val="39"/>
        </w:numPr>
        <w:spacing w:line="276" w:lineRule="auto"/>
        <w:contextualSpacing/>
        <w:rPr>
          <w:rFonts w:eastAsiaTheme="minorEastAsia"/>
        </w:rPr>
      </w:pPr>
      <w:r w:rsidRPr="00B90508">
        <w:rPr>
          <w:rFonts w:eastAsiaTheme="minorEastAsia"/>
        </w:rPr>
        <w:t>Intensity:</w:t>
      </w:r>
    </w:p>
    <w:p w14:paraId="44F0A986" w14:textId="77777777" w:rsidR="00B90508" w:rsidRPr="00B90508" w:rsidRDefault="00B90508" w:rsidP="00B90508">
      <w:pPr>
        <w:numPr>
          <w:ilvl w:val="0"/>
          <w:numId w:val="37"/>
        </w:numPr>
        <w:spacing w:line="276" w:lineRule="auto"/>
        <w:contextualSpacing/>
        <w:rPr>
          <w:rFonts w:eastAsiaTheme="minorEastAsia"/>
        </w:rPr>
      </w:pPr>
      <w:r w:rsidRPr="00B90508">
        <w:rPr>
          <w:rFonts w:eastAsiaTheme="minorEastAsia"/>
        </w:rPr>
        <w:t>1 = effect of action is widespread throughout the geographic scale and is likely to restore or halt threats/ stressors</w:t>
      </w:r>
    </w:p>
    <w:p w14:paraId="5FA45C5C" w14:textId="77777777" w:rsidR="00B90508" w:rsidRPr="00B90508" w:rsidRDefault="00B90508" w:rsidP="00B90508">
      <w:pPr>
        <w:numPr>
          <w:ilvl w:val="0"/>
          <w:numId w:val="37"/>
        </w:numPr>
        <w:spacing w:line="276" w:lineRule="auto"/>
        <w:contextualSpacing/>
        <w:rPr>
          <w:rFonts w:eastAsiaTheme="minorEastAsia"/>
        </w:rPr>
      </w:pPr>
      <w:r w:rsidRPr="00B90508">
        <w:rPr>
          <w:rFonts w:eastAsiaTheme="minorEastAsia"/>
        </w:rPr>
        <w:t>2 = effect of action is widespread at the geographic scale and will significantly restore ecosystem function or retard threats/stressors</w:t>
      </w:r>
    </w:p>
    <w:p w14:paraId="3F7817BA" w14:textId="77777777" w:rsidR="00B90508" w:rsidRPr="00B90508" w:rsidRDefault="00B90508" w:rsidP="00B90508">
      <w:pPr>
        <w:numPr>
          <w:ilvl w:val="0"/>
          <w:numId w:val="37"/>
        </w:numPr>
        <w:spacing w:line="276" w:lineRule="auto"/>
        <w:contextualSpacing/>
        <w:rPr>
          <w:rFonts w:eastAsiaTheme="minorEastAsia"/>
        </w:rPr>
      </w:pPr>
      <w:r w:rsidRPr="00B90508">
        <w:rPr>
          <w:rFonts w:eastAsiaTheme="minorEastAsia"/>
        </w:rPr>
        <w:t>3 = effect of action is localized through the geographic scale and will moderately restore ecosystem function or retard threats/stressors</w:t>
      </w:r>
    </w:p>
    <w:p w14:paraId="7D332065" w14:textId="77777777" w:rsidR="00B90508" w:rsidRPr="00B90508" w:rsidRDefault="00B90508" w:rsidP="00DB2B36">
      <w:pPr>
        <w:numPr>
          <w:ilvl w:val="0"/>
          <w:numId w:val="37"/>
        </w:numPr>
        <w:spacing w:line="276" w:lineRule="auto"/>
        <w:rPr>
          <w:rFonts w:eastAsiaTheme="minorEastAsia"/>
        </w:rPr>
      </w:pPr>
      <w:r w:rsidRPr="00B90508">
        <w:rPr>
          <w:rFonts w:eastAsiaTheme="minorEastAsia"/>
        </w:rPr>
        <w:t>4 = effect of action is very localized in a portion of the geographic scale and will slightly restore or retard threats/stressors</w:t>
      </w:r>
    </w:p>
    <w:p w14:paraId="2D6EBD20" w14:textId="77777777" w:rsidR="00B90508" w:rsidRPr="00B90508" w:rsidRDefault="00B90508" w:rsidP="00B90508">
      <w:pPr>
        <w:spacing w:line="276" w:lineRule="auto"/>
        <w:rPr>
          <w:rFonts w:eastAsiaTheme="minorEastAsia"/>
        </w:rPr>
      </w:pPr>
      <w:r w:rsidRPr="00B90508">
        <w:rPr>
          <w:rFonts w:eastAsiaTheme="minorEastAsia"/>
        </w:rPr>
        <w:lastRenderedPageBreak/>
        <w:t>Category ratings will be entered into the following matrix to provide a benefit score.</w:t>
      </w:r>
    </w:p>
    <w:tbl>
      <w:tblPr>
        <w:tblW w:w="5000" w:type="pct"/>
        <w:jc w:val="center"/>
        <w:tblBorders>
          <w:top w:val="single" w:sz="6" w:space="0" w:color="BFBFBF" w:themeColor="background1" w:themeShade="BF"/>
          <w:left w:val="single" w:sz="6" w:space="0" w:color="BFBFBF" w:themeColor="background1" w:themeShade="BF"/>
          <w:bottom w:val="single" w:sz="6" w:space="0" w:color="BFBFBF" w:themeColor="background1" w:themeShade="BF"/>
          <w:right w:val="single" w:sz="6" w:space="0" w:color="BFBFBF" w:themeColor="background1" w:themeShade="BF"/>
          <w:insideH w:val="single" w:sz="6" w:space="0" w:color="BFBFBF" w:themeColor="background1" w:themeShade="BF"/>
          <w:insideV w:val="single" w:sz="6" w:space="0" w:color="BFBFBF" w:themeColor="background1" w:themeShade="BF"/>
        </w:tblBorders>
        <w:tblLayout w:type="fixed"/>
        <w:tblCellMar>
          <w:top w:w="43" w:type="dxa"/>
          <w:left w:w="43" w:type="dxa"/>
          <w:bottom w:w="43" w:type="dxa"/>
          <w:right w:w="43" w:type="dxa"/>
        </w:tblCellMar>
        <w:tblLook w:val="0600" w:firstRow="0" w:lastRow="0" w:firstColumn="0" w:lastColumn="0" w:noHBand="1" w:noVBand="1"/>
      </w:tblPr>
      <w:tblGrid>
        <w:gridCol w:w="982"/>
        <w:gridCol w:w="899"/>
        <w:gridCol w:w="1861"/>
        <w:gridCol w:w="1861"/>
        <w:gridCol w:w="1861"/>
        <w:gridCol w:w="1880"/>
      </w:tblGrid>
      <w:tr w:rsidR="00B90508" w:rsidRPr="00B90508" w14:paraId="178367BA" w14:textId="77777777" w:rsidTr="00B90508">
        <w:trPr>
          <w:jc w:val="center"/>
        </w:trPr>
        <w:tc>
          <w:tcPr>
            <w:tcW w:w="982" w:type="dxa"/>
            <w:vMerge w:val="restart"/>
            <w:shd w:val="clear" w:color="auto" w:fill="D9D9D9" w:themeFill="background1" w:themeFillShade="D9"/>
            <w:tcMar>
              <w:top w:w="100" w:type="dxa"/>
              <w:left w:w="100" w:type="dxa"/>
              <w:bottom w:w="100" w:type="dxa"/>
              <w:right w:w="100" w:type="dxa"/>
            </w:tcMar>
            <w:vAlign w:val="center"/>
          </w:tcPr>
          <w:p w14:paraId="0C5A46FA"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 xml:space="preserve">Scale </w:t>
            </w:r>
            <w:r w:rsidRPr="00B90508">
              <w:rPr>
                <w:rFonts w:eastAsiaTheme="minorEastAsia"/>
                <w:b/>
                <w:sz w:val="20"/>
                <w:szCs w:val="20"/>
              </w:rPr>
              <w:br/>
              <w:t>Rating</w:t>
            </w:r>
          </w:p>
        </w:tc>
        <w:tc>
          <w:tcPr>
            <w:tcW w:w="899" w:type="dxa"/>
            <w:shd w:val="clear" w:color="auto" w:fill="D9D9D9" w:themeFill="background1" w:themeFillShade="D9"/>
            <w:tcMar>
              <w:top w:w="100" w:type="dxa"/>
              <w:left w:w="100" w:type="dxa"/>
              <w:bottom w:w="100" w:type="dxa"/>
              <w:right w:w="100" w:type="dxa"/>
            </w:tcMar>
            <w:vAlign w:val="center"/>
          </w:tcPr>
          <w:p w14:paraId="7E6189D5" w14:textId="77777777" w:rsidR="00B90508" w:rsidRPr="00B90508" w:rsidRDefault="00B90508" w:rsidP="00B90508">
            <w:pPr>
              <w:spacing w:after="0" w:line="240" w:lineRule="auto"/>
              <w:jc w:val="center"/>
              <w:rPr>
                <w:rFonts w:eastAsiaTheme="minorEastAsia"/>
                <w:b/>
                <w:sz w:val="20"/>
                <w:szCs w:val="20"/>
              </w:rPr>
            </w:pPr>
          </w:p>
        </w:tc>
        <w:tc>
          <w:tcPr>
            <w:tcW w:w="7463" w:type="dxa"/>
            <w:gridSpan w:val="4"/>
            <w:shd w:val="clear" w:color="auto" w:fill="D9D9D9" w:themeFill="background1" w:themeFillShade="D9"/>
            <w:tcMar>
              <w:top w:w="100" w:type="dxa"/>
              <w:left w:w="100" w:type="dxa"/>
              <w:bottom w:w="100" w:type="dxa"/>
              <w:right w:w="100" w:type="dxa"/>
            </w:tcMar>
            <w:vAlign w:val="center"/>
          </w:tcPr>
          <w:p w14:paraId="7EF1A63D"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Intensity Rating</w:t>
            </w:r>
          </w:p>
        </w:tc>
      </w:tr>
      <w:tr w:rsidR="00B90508" w:rsidRPr="00B90508" w14:paraId="43E6171C" w14:textId="77777777" w:rsidTr="00B90508">
        <w:trPr>
          <w:jc w:val="center"/>
        </w:trPr>
        <w:tc>
          <w:tcPr>
            <w:tcW w:w="982" w:type="dxa"/>
            <w:vMerge/>
            <w:shd w:val="clear" w:color="auto" w:fill="D9D9D9" w:themeFill="background1" w:themeFillShade="D9"/>
            <w:tcMar>
              <w:top w:w="100" w:type="dxa"/>
              <w:left w:w="100" w:type="dxa"/>
              <w:bottom w:w="100" w:type="dxa"/>
              <w:right w:w="100" w:type="dxa"/>
            </w:tcMar>
            <w:vAlign w:val="center"/>
          </w:tcPr>
          <w:p w14:paraId="272EFDE6" w14:textId="77777777" w:rsidR="00B90508" w:rsidRPr="00B90508" w:rsidRDefault="00B90508" w:rsidP="00B90508">
            <w:pPr>
              <w:spacing w:after="0" w:line="240" w:lineRule="auto"/>
              <w:jc w:val="center"/>
              <w:rPr>
                <w:rFonts w:eastAsiaTheme="minorEastAsia"/>
                <w:b/>
                <w:sz w:val="20"/>
                <w:szCs w:val="20"/>
              </w:rPr>
            </w:pPr>
          </w:p>
        </w:tc>
        <w:tc>
          <w:tcPr>
            <w:tcW w:w="899" w:type="dxa"/>
            <w:shd w:val="clear" w:color="auto" w:fill="F2F2F2" w:themeFill="background1" w:themeFillShade="F2"/>
            <w:tcMar>
              <w:top w:w="100" w:type="dxa"/>
              <w:left w:w="100" w:type="dxa"/>
              <w:bottom w:w="100" w:type="dxa"/>
              <w:right w:w="100" w:type="dxa"/>
            </w:tcMar>
            <w:vAlign w:val="center"/>
          </w:tcPr>
          <w:p w14:paraId="50CF244A" w14:textId="77777777" w:rsidR="00B90508" w:rsidRPr="00B90508" w:rsidRDefault="00B90508" w:rsidP="00B90508">
            <w:pPr>
              <w:spacing w:after="0" w:line="240" w:lineRule="auto"/>
              <w:jc w:val="center"/>
              <w:rPr>
                <w:rFonts w:eastAsiaTheme="minorEastAsia"/>
                <w:b/>
                <w:sz w:val="20"/>
                <w:szCs w:val="20"/>
              </w:rPr>
            </w:pPr>
          </w:p>
        </w:tc>
        <w:tc>
          <w:tcPr>
            <w:tcW w:w="1861" w:type="dxa"/>
            <w:shd w:val="clear" w:color="auto" w:fill="F2F2F2" w:themeFill="background1" w:themeFillShade="F2"/>
            <w:tcMar>
              <w:top w:w="100" w:type="dxa"/>
              <w:left w:w="100" w:type="dxa"/>
              <w:bottom w:w="100" w:type="dxa"/>
              <w:right w:w="100" w:type="dxa"/>
            </w:tcMar>
            <w:vAlign w:val="center"/>
          </w:tcPr>
          <w:p w14:paraId="35B00C84"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1</w:t>
            </w:r>
          </w:p>
        </w:tc>
        <w:tc>
          <w:tcPr>
            <w:tcW w:w="1861" w:type="dxa"/>
            <w:shd w:val="clear" w:color="auto" w:fill="F2F2F2" w:themeFill="background1" w:themeFillShade="F2"/>
            <w:tcMar>
              <w:top w:w="100" w:type="dxa"/>
              <w:left w:w="100" w:type="dxa"/>
              <w:bottom w:w="100" w:type="dxa"/>
              <w:right w:w="100" w:type="dxa"/>
            </w:tcMar>
            <w:vAlign w:val="center"/>
          </w:tcPr>
          <w:p w14:paraId="3DDCF16E"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2</w:t>
            </w:r>
          </w:p>
        </w:tc>
        <w:tc>
          <w:tcPr>
            <w:tcW w:w="1861" w:type="dxa"/>
            <w:shd w:val="clear" w:color="auto" w:fill="F2F2F2" w:themeFill="background1" w:themeFillShade="F2"/>
            <w:tcMar>
              <w:top w:w="100" w:type="dxa"/>
              <w:left w:w="100" w:type="dxa"/>
              <w:bottom w:w="100" w:type="dxa"/>
              <w:right w:w="100" w:type="dxa"/>
            </w:tcMar>
            <w:vAlign w:val="center"/>
          </w:tcPr>
          <w:p w14:paraId="6026DBC1"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3</w:t>
            </w:r>
          </w:p>
        </w:tc>
        <w:tc>
          <w:tcPr>
            <w:tcW w:w="1880" w:type="dxa"/>
            <w:shd w:val="clear" w:color="auto" w:fill="F2F2F2" w:themeFill="background1" w:themeFillShade="F2"/>
            <w:tcMar>
              <w:top w:w="100" w:type="dxa"/>
              <w:left w:w="100" w:type="dxa"/>
              <w:bottom w:w="100" w:type="dxa"/>
              <w:right w:w="100" w:type="dxa"/>
            </w:tcMar>
            <w:vAlign w:val="center"/>
          </w:tcPr>
          <w:p w14:paraId="4DC9704D"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4</w:t>
            </w:r>
          </w:p>
        </w:tc>
      </w:tr>
      <w:tr w:rsidR="00B90508" w:rsidRPr="00B90508" w14:paraId="113F8D75" w14:textId="77777777" w:rsidTr="00B90508">
        <w:trPr>
          <w:jc w:val="center"/>
        </w:trPr>
        <w:tc>
          <w:tcPr>
            <w:tcW w:w="982" w:type="dxa"/>
            <w:vMerge/>
            <w:shd w:val="clear" w:color="auto" w:fill="D9D9D9" w:themeFill="background1" w:themeFillShade="D9"/>
            <w:tcMar>
              <w:top w:w="100" w:type="dxa"/>
              <w:left w:w="100" w:type="dxa"/>
              <w:bottom w:w="100" w:type="dxa"/>
              <w:right w:w="100" w:type="dxa"/>
            </w:tcMar>
            <w:vAlign w:val="center"/>
          </w:tcPr>
          <w:p w14:paraId="6D115E8B" w14:textId="77777777" w:rsidR="00B90508" w:rsidRPr="00B90508" w:rsidRDefault="00B90508" w:rsidP="00B90508">
            <w:pPr>
              <w:spacing w:after="0" w:line="240" w:lineRule="auto"/>
              <w:jc w:val="center"/>
              <w:rPr>
                <w:rFonts w:eastAsiaTheme="minorEastAsia"/>
                <w:b/>
                <w:sz w:val="20"/>
                <w:szCs w:val="20"/>
              </w:rPr>
            </w:pPr>
          </w:p>
        </w:tc>
        <w:tc>
          <w:tcPr>
            <w:tcW w:w="899" w:type="dxa"/>
            <w:shd w:val="clear" w:color="auto" w:fill="F2F2F2" w:themeFill="background1" w:themeFillShade="F2"/>
            <w:tcMar>
              <w:top w:w="100" w:type="dxa"/>
              <w:left w:w="100" w:type="dxa"/>
              <w:bottom w:w="100" w:type="dxa"/>
              <w:right w:w="100" w:type="dxa"/>
            </w:tcMar>
            <w:vAlign w:val="center"/>
          </w:tcPr>
          <w:p w14:paraId="4E64DE60"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1</w:t>
            </w:r>
          </w:p>
        </w:tc>
        <w:tc>
          <w:tcPr>
            <w:tcW w:w="1861" w:type="dxa"/>
            <w:tcMar>
              <w:top w:w="100" w:type="dxa"/>
              <w:left w:w="100" w:type="dxa"/>
              <w:bottom w:w="100" w:type="dxa"/>
              <w:right w:w="100" w:type="dxa"/>
            </w:tcMar>
            <w:vAlign w:val="center"/>
          </w:tcPr>
          <w:p w14:paraId="0EB3E7AA"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1</w:t>
            </w:r>
          </w:p>
        </w:tc>
        <w:tc>
          <w:tcPr>
            <w:tcW w:w="1861" w:type="dxa"/>
            <w:tcMar>
              <w:top w:w="100" w:type="dxa"/>
              <w:left w:w="100" w:type="dxa"/>
              <w:bottom w:w="100" w:type="dxa"/>
              <w:right w:w="100" w:type="dxa"/>
            </w:tcMar>
            <w:vAlign w:val="center"/>
          </w:tcPr>
          <w:p w14:paraId="26CB0F9E"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1</w:t>
            </w:r>
          </w:p>
        </w:tc>
        <w:tc>
          <w:tcPr>
            <w:tcW w:w="1861" w:type="dxa"/>
            <w:tcMar>
              <w:top w:w="100" w:type="dxa"/>
              <w:left w:w="100" w:type="dxa"/>
              <w:bottom w:w="100" w:type="dxa"/>
              <w:right w:w="100" w:type="dxa"/>
            </w:tcMar>
            <w:vAlign w:val="center"/>
          </w:tcPr>
          <w:p w14:paraId="5722F657"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2</w:t>
            </w:r>
          </w:p>
        </w:tc>
        <w:tc>
          <w:tcPr>
            <w:tcW w:w="1880" w:type="dxa"/>
            <w:tcMar>
              <w:top w:w="100" w:type="dxa"/>
              <w:left w:w="100" w:type="dxa"/>
              <w:bottom w:w="100" w:type="dxa"/>
              <w:right w:w="100" w:type="dxa"/>
            </w:tcMar>
            <w:vAlign w:val="center"/>
          </w:tcPr>
          <w:p w14:paraId="73514E8E"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4</w:t>
            </w:r>
          </w:p>
        </w:tc>
      </w:tr>
      <w:tr w:rsidR="00B90508" w:rsidRPr="00B90508" w14:paraId="3494F3E5" w14:textId="77777777" w:rsidTr="00B90508">
        <w:trPr>
          <w:jc w:val="center"/>
        </w:trPr>
        <w:tc>
          <w:tcPr>
            <w:tcW w:w="982" w:type="dxa"/>
            <w:vMerge/>
            <w:shd w:val="clear" w:color="auto" w:fill="D9D9D9" w:themeFill="background1" w:themeFillShade="D9"/>
            <w:tcMar>
              <w:top w:w="100" w:type="dxa"/>
              <w:left w:w="100" w:type="dxa"/>
              <w:bottom w:w="100" w:type="dxa"/>
              <w:right w:w="100" w:type="dxa"/>
            </w:tcMar>
            <w:vAlign w:val="center"/>
          </w:tcPr>
          <w:p w14:paraId="4E227C52" w14:textId="77777777" w:rsidR="00B90508" w:rsidRPr="00B90508" w:rsidRDefault="00B90508" w:rsidP="00B90508">
            <w:pPr>
              <w:spacing w:after="0" w:line="240" w:lineRule="auto"/>
              <w:jc w:val="center"/>
              <w:rPr>
                <w:rFonts w:eastAsiaTheme="minorEastAsia"/>
                <w:b/>
                <w:sz w:val="20"/>
                <w:szCs w:val="20"/>
              </w:rPr>
            </w:pPr>
          </w:p>
        </w:tc>
        <w:tc>
          <w:tcPr>
            <w:tcW w:w="899" w:type="dxa"/>
            <w:shd w:val="clear" w:color="auto" w:fill="F2F2F2" w:themeFill="background1" w:themeFillShade="F2"/>
            <w:tcMar>
              <w:top w:w="100" w:type="dxa"/>
              <w:left w:w="100" w:type="dxa"/>
              <w:bottom w:w="100" w:type="dxa"/>
              <w:right w:w="100" w:type="dxa"/>
            </w:tcMar>
            <w:vAlign w:val="center"/>
          </w:tcPr>
          <w:p w14:paraId="1C08462F"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2</w:t>
            </w:r>
          </w:p>
        </w:tc>
        <w:tc>
          <w:tcPr>
            <w:tcW w:w="1861" w:type="dxa"/>
            <w:tcMar>
              <w:top w:w="100" w:type="dxa"/>
              <w:left w:w="100" w:type="dxa"/>
              <w:bottom w:w="100" w:type="dxa"/>
              <w:right w:w="100" w:type="dxa"/>
            </w:tcMar>
            <w:vAlign w:val="center"/>
          </w:tcPr>
          <w:p w14:paraId="04793E3D"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1</w:t>
            </w:r>
          </w:p>
        </w:tc>
        <w:tc>
          <w:tcPr>
            <w:tcW w:w="1861" w:type="dxa"/>
            <w:tcMar>
              <w:top w:w="100" w:type="dxa"/>
              <w:left w:w="100" w:type="dxa"/>
              <w:bottom w:w="100" w:type="dxa"/>
              <w:right w:w="100" w:type="dxa"/>
            </w:tcMar>
            <w:vAlign w:val="center"/>
          </w:tcPr>
          <w:p w14:paraId="3A555060"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2</w:t>
            </w:r>
          </w:p>
        </w:tc>
        <w:tc>
          <w:tcPr>
            <w:tcW w:w="1861" w:type="dxa"/>
            <w:tcMar>
              <w:top w:w="100" w:type="dxa"/>
              <w:left w:w="100" w:type="dxa"/>
              <w:bottom w:w="100" w:type="dxa"/>
              <w:right w:w="100" w:type="dxa"/>
            </w:tcMar>
            <w:vAlign w:val="center"/>
          </w:tcPr>
          <w:p w14:paraId="75F93EC6"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3</w:t>
            </w:r>
          </w:p>
        </w:tc>
        <w:tc>
          <w:tcPr>
            <w:tcW w:w="1880" w:type="dxa"/>
            <w:tcMar>
              <w:top w:w="100" w:type="dxa"/>
              <w:left w:w="100" w:type="dxa"/>
              <w:bottom w:w="100" w:type="dxa"/>
              <w:right w:w="100" w:type="dxa"/>
            </w:tcMar>
            <w:vAlign w:val="center"/>
          </w:tcPr>
          <w:p w14:paraId="75EA3234"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4</w:t>
            </w:r>
          </w:p>
        </w:tc>
      </w:tr>
      <w:tr w:rsidR="00B90508" w:rsidRPr="00B90508" w14:paraId="4FE4A1C2" w14:textId="77777777" w:rsidTr="00B90508">
        <w:trPr>
          <w:jc w:val="center"/>
        </w:trPr>
        <w:tc>
          <w:tcPr>
            <w:tcW w:w="982" w:type="dxa"/>
            <w:vMerge/>
            <w:shd w:val="clear" w:color="auto" w:fill="D9D9D9" w:themeFill="background1" w:themeFillShade="D9"/>
            <w:tcMar>
              <w:top w:w="100" w:type="dxa"/>
              <w:left w:w="100" w:type="dxa"/>
              <w:bottom w:w="100" w:type="dxa"/>
              <w:right w:w="100" w:type="dxa"/>
            </w:tcMar>
            <w:vAlign w:val="center"/>
          </w:tcPr>
          <w:p w14:paraId="515D6D89" w14:textId="77777777" w:rsidR="00B90508" w:rsidRPr="00B90508" w:rsidRDefault="00B90508" w:rsidP="00B90508">
            <w:pPr>
              <w:spacing w:after="0" w:line="240" w:lineRule="auto"/>
              <w:jc w:val="center"/>
              <w:rPr>
                <w:rFonts w:eastAsiaTheme="minorEastAsia"/>
                <w:b/>
                <w:sz w:val="20"/>
                <w:szCs w:val="20"/>
              </w:rPr>
            </w:pPr>
          </w:p>
        </w:tc>
        <w:tc>
          <w:tcPr>
            <w:tcW w:w="899" w:type="dxa"/>
            <w:shd w:val="clear" w:color="auto" w:fill="F2F2F2" w:themeFill="background1" w:themeFillShade="F2"/>
            <w:tcMar>
              <w:top w:w="100" w:type="dxa"/>
              <w:left w:w="100" w:type="dxa"/>
              <w:bottom w:w="100" w:type="dxa"/>
              <w:right w:w="100" w:type="dxa"/>
            </w:tcMar>
            <w:vAlign w:val="center"/>
          </w:tcPr>
          <w:p w14:paraId="083FF657"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3</w:t>
            </w:r>
          </w:p>
        </w:tc>
        <w:tc>
          <w:tcPr>
            <w:tcW w:w="1861" w:type="dxa"/>
            <w:tcMar>
              <w:top w:w="100" w:type="dxa"/>
              <w:left w:w="100" w:type="dxa"/>
              <w:bottom w:w="100" w:type="dxa"/>
              <w:right w:w="100" w:type="dxa"/>
            </w:tcMar>
            <w:vAlign w:val="center"/>
          </w:tcPr>
          <w:p w14:paraId="18DA2BB8"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2</w:t>
            </w:r>
          </w:p>
        </w:tc>
        <w:tc>
          <w:tcPr>
            <w:tcW w:w="1861" w:type="dxa"/>
            <w:tcMar>
              <w:top w:w="100" w:type="dxa"/>
              <w:left w:w="100" w:type="dxa"/>
              <w:bottom w:w="100" w:type="dxa"/>
              <w:right w:w="100" w:type="dxa"/>
            </w:tcMar>
            <w:vAlign w:val="center"/>
          </w:tcPr>
          <w:p w14:paraId="04CBE998"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3</w:t>
            </w:r>
          </w:p>
        </w:tc>
        <w:tc>
          <w:tcPr>
            <w:tcW w:w="1861" w:type="dxa"/>
            <w:tcMar>
              <w:top w:w="100" w:type="dxa"/>
              <w:left w:w="100" w:type="dxa"/>
              <w:bottom w:w="100" w:type="dxa"/>
              <w:right w:w="100" w:type="dxa"/>
            </w:tcMar>
            <w:vAlign w:val="center"/>
          </w:tcPr>
          <w:p w14:paraId="1DCD2517"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3</w:t>
            </w:r>
          </w:p>
        </w:tc>
        <w:tc>
          <w:tcPr>
            <w:tcW w:w="1880" w:type="dxa"/>
            <w:tcMar>
              <w:top w:w="100" w:type="dxa"/>
              <w:left w:w="100" w:type="dxa"/>
              <w:bottom w:w="100" w:type="dxa"/>
              <w:right w:w="100" w:type="dxa"/>
            </w:tcMar>
            <w:vAlign w:val="center"/>
          </w:tcPr>
          <w:p w14:paraId="6214B806"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4</w:t>
            </w:r>
          </w:p>
        </w:tc>
      </w:tr>
      <w:tr w:rsidR="00B90508" w:rsidRPr="00B90508" w14:paraId="601000D1" w14:textId="77777777" w:rsidTr="00B90508">
        <w:trPr>
          <w:jc w:val="center"/>
        </w:trPr>
        <w:tc>
          <w:tcPr>
            <w:tcW w:w="982" w:type="dxa"/>
            <w:vMerge/>
            <w:shd w:val="clear" w:color="auto" w:fill="D9D9D9" w:themeFill="background1" w:themeFillShade="D9"/>
            <w:tcMar>
              <w:top w:w="100" w:type="dxa"/>
              <w:left w:w="100" w:type="dxa"/>
              <w:bottom w:w="100" w:type="dxa"/>
              <w:right w:w="100" w:type="dxa"/>
            </w:tcMar>
            <w:vAlign w:val="center"/>
          </w:tcPr>
          <w:p w14:paraId="111E78AE" w14:textId="77777777" w:rsidR="00B90508" w:rsidRPr="00B90508" w:rsidRDefault="00B90508" w:rsidP="00B90508">
            <w:pPr>
              <w:spacing w:after="0" w:line="240" w:lineRule="auto"/>
              <w:jc w:val="center"/>
              <w:rPr>
                <w:rFonts w:eastAsiaTheme="minorEastAsia"/>
                <w:b/>
                <w:sz w:val="20"/>
                <w:szCs w:val="20"/>
              </w:rPr>
            </w:pPr>
          </w:p>
        </w:tc>
        <w:tc>
          <w:tcPr>
            <w:tcW w:w="899" w:type="dxa"/>
            <w:shd w:val="clear" w:color="auto" w:fill="F2F2F2" w:themeFill="background1" w:themeFillShade="F2"/>
            <w:tcMar>
              <w:top w:w="100" w:type="dxa"/>
              <w:left w:w="100" w:type="dxa"/>
              <w:bottom w:w="100" w:type="dxa"/>
              <w:right w:w="100" w:type="dxa"/>
            </w:tcMar>
            <w:vAlign w:val="center"/>
          </w:tcPr>
          <w:p w14:paraId="59085F96" w14:textId="77777777" w:rsidR="00B90508" w:rsidRPr="00B90508" w:rsidRDefault="00B90508" w:rsidP="00B90508">
            <w:pPr>
              <w:spacing w:after="0" w:line="240" w:lineRule="auto"/>
              <w:jc w:val="center"/>
              <w:rPr>
                <w:rFonts w:eastAsiaTheme="minorEastAsia"/>
                <w:b/>
                <w:sz w:val="20"/>
                <w:szCs w:val="20"/>
              </w:rPr>
            </w:pPr>
            <w:r w:rsidRPr="00B90508">
              <w:rPr>
                <w:rFonts w:eastAsiaTheme="minorEastAsia"/>
                <w:b/>
                <w:sz w:val="20"/>
                <w:szCs w:val="20"/>
              </w:rPr>
              <w:t>4</w:t>
            </w:r>
          </w:p>
        </w:tc>
        <w:tc>
          <w:tcPr>
            <w:tcW w:w="1861" w:type="dxa"/>
            <w:tcMar>
              <w:top w:w="100" w:type="dxa"/>
              <w:left w:w="100" w:type="dxa"/>
              <w:bottom w:w="100" w:type="dxa"/>
              <w:right w:w="100" w:type="dxa"/>
            </w:tcMar>
            <w:vAlign w:val="center"/>
          </w:tcPr>
          <w:p w14:paraId="3147D60F"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4</w:t>
            </w:r>
          </w:p>
        </w:tc>
        <w:tc>
          <w:tcPr>
            <w:tcW w:w="1861" w:type="dxa"/>
            <w:tcMar>
              <w:top w:w="100" w:type="dxa"/>
              <w:left w:w="100" w:type="dxa"/>
              <w:bottom w:w="100" w:type="dxa"/>
              <w:right w:w="100" w:type="dxa"/>
            </w:tcMar>
            <w:vAlign w:val="center"/>
          </w:tcPr>
          <w:p w14:paraId="2BEBCBC0"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4</w:t>
            </w:r>
          </w:p>
        </w:tc>
        <w:tc>
          <w:tcPr>
            <w:tcW w:w="1861" w:type="dxa"/>
            <w:tcMar>
              <w:top w:w="100" w:type="dxa"/>
              <w:left w:w="100" w:type="dxa"/>
              <w:bottom w:w="100" w:type="dxa"/>
              <w:right w:w="100" w:type="dxa"/>
            </w:tcMar>
            <w:vAlign w:val="center"/>
          </w:tcPr>
          <w:p w14:paraId="0FF45779"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4</w:t>
            </w:r>
          </w:p>
        </w:tc>
        <w:tc>
          <w:tcPr>
            <w:tcW w:w="1880" w:type="dxa"/>
            <w:tcMar>
              <w:top w:w="100" w:type="dxa"/>
              <w:left w:w="100" w:type="dxa"/>
              <w:bottom w:w="100" w:type="dxa"/>
              <w:right w:w="100" w:type="dxa"/>
            </w:tcMar>
            <w:vAlign w:val="center"/>
          </w:tcPr>
          <w:p w14:paraId="2BCC84D1" w14:textId="77777777" w:rsidR="00B90508" w:rsidRPr="00B90508" w:rsidRDefault="00B90508" w:rsidP="00B90508">
            <w:pPr>
              <w:spacing w:after="0" w:line="240" w:lineRule="auto"/>
              <w:jc w:val="center"/>
              <w:rPr>
                <w:rFonts w:eastAsiaTheme="minorEastAsia"/>
                <w:sz w:val="20"/>
                <w:szCs w:val="20"/>
              </w:rPr>
            </w:pPr>
            <w:r w:rsidRPr="00B90508">
              <w:rPr>
                <w:rFonts w:eastAsiaTheme="minorEastAsia"/>
                <w:sz w:val="20"/>
                <w:szCs w:val="20"/>
              </w:rPr>
              <w:t>4</w:t>
            </w:r>
          </w:p>
        </w:tc>
      </w:tr>
    </w:tbl>
    <w:p w14:paraId="60FC4949" w14:textId="77777777" w:rsidR="00B90508" w:rsidRPr="00B90508" w:rsidRDefault="00B90508" w:rsidP="00B90508">
      <w:pPr>
        <w:spacing w:line="276" w:lineRule="auto"/>
        <w:rPr>
          <w:rFonts w:eastAsiaTheme="minorEastAsia"/>
        </w:rPr>
      </w:pPr>
      <w:r w:rsidRPr="00B90508">
        <w:rPr>
          <w:rFonts w:eastAsiaTheme="minorEastAsia"/>
        </w:rPr>
        <w:t xml:space="preserve"> </w:t>
      </w:r>
    </w:p>
    <w:p w14:paraId="49945CEC" w14:textId="77777777" w:rsidR="00B90508" w:rsidRPr="00B90508" w:rsidRDefault="00B90508" w:rsidP="00B90508">
      <w:pPr>
        <w:spacing w:line="276" w:lineRule="auto"/>
        <w:rPr>
          <w:rFonts w:eastAsiaTheme="minorEastAsia"/>
        </w:rPr>
      </w:pPr>
      <w:r w:rsidRPr="00B90508">
        <w:rPr>
          <w:rFonts w:eastAsiaTheme="minorEastAsia"/>
          <w:b/>
        </w:rPr>
        <w:t>Step 2: Readiness Review</w:t>
      </w:r>
      <w:r w:rsidRPr="00B90508">
        <w:rPr>
          <w:rFonts w:eastAsiaTheme="minorEastAsia"/>
        </w:rPr>
        <w:t xml:space="preserve"> – Readiness will evaluate project feasibility and community support using the following considerations.</w:t>
      </w:r>
    </w:p>
    <w:p w14:paraId="5BBD96AF" w14:textId="77777777" w:rsidR="00B90508" w:rsidRPr="00B90508" w:rsidRDefault="00B90508" w:rsidP="00B90508">
      <w:pPr>
        <w:numPr>
          <w:ilvl w:val="0"/>
          <w:numId w:val="38"/>
        </w:numPr>
        <w:spacing w:line="276" w:lineRule="auto"/>
        <w:contextualSpacing/>
        <w:rPr>
          <w:rFonts w:eastAsiaTheme="minorEastAsia"/>
        </w:rPr>
      </w:pPr>
      <w:r w:rsidRPr="00B90508">
        <w:rPr>
          <w:rFonts w:eastAsiaTheme="minorEastAsia"/>
        </w:rPr>
        <w:t>Feasibility (+/- 1)</w:t>
      </w:r>
    </w:p>
    <w:p w14:paraId="134AA652" w14:textId="77777777" w:rsidR="00B90508" w:rsidRPr="00B90508" w:rsidRDefault="00B90508" w:rsidP="00B90508">
      <w:pPr>
        <w:numPr>
          <w:ilvl w:val="0"/>
          <w:numId w:val="36"/>
        </w:numPr>
        <w:spacing w:line="276" w:lineRule="auto"/>
        <w:contextualSpacing/>
        <w:rPr>
          <w:rFonts w:eastAsiaTheme="minorEastAsia"/>
        </w:rPr>
      </w:pPr>
      <w:r w:rsidRPr="00B90508">
        <w:rPr>
          <w:rFonts w:eastAsiaTheme="minorEastAsia"/>
        </w:rPr>
        <w:t>Does technology exist / to what extent is it understood or proven?</w:t>
      </w:r>
    </w:p>
    <w:p w14:paraId="31DB5D19" w14:textId="77777777" w:rsidR="00B90508" w:rsidRPr="00B90508" w:rsidRDefault="00B90508" w:rsidP="00B90508">
      <w:pPr>
        <w:numPr>
          <w:ilvl w:val="0"/>
          <w:numId w:val="36"/>
        </w:numPr>
        <w:spacing w:line="276" w:lineRule="auto"/>
        <w:rPr>
          <w:rFonts w:eastAsiaTheme="minorEastAsia"/>
        </w:rPr>
      </w:pPr>
      <w:r w:rsidRPr="00B90508">
        <w:rPr>
          <w:rFonts w:eastAsiaTheme="minorEastAsia"/>
        </w:rPr>
        <w:t>Does the NTA proponent have the technical and financial capacity to manage / accomplish the action?</w:t>
      </w:r>
    </w:p>
    <w:p w14:paraId="478F6298" w14:textId="77777777" w:rsidR="00B90508" w:rsidRPr="00B90508" w:rsidRDefault="00B90508" w:rsidP="00B90508">
      <w:pPr>
        <w:numPr>
          <w:ilvl w:val="0"/>
          <w:numId w:val="38"/>
        </w:numPr>
        <w:spacing w:line="276" w:lineRule="auto"/>
        <w:contextualSpacing/>
        <w:rPr>
          <w:rFonts w:eastAsiaTheme="minorEastAsia"/>
        </w:rPr>
      </w:pPr>
      <w:r w:rsidRPr="00B90508">
        <w:rPr>
          <w:rFonts w:eastAsiaTheme="minorEastAsia"/>
        </w:rPr>
        <w:t>Community support (+/- 1)</w:t>
      </w:r>
    </w:p>
    <w:p w14:paraId="62C64B3E" w14:textId="77777777" w:rsidR="00B90508" w:rsidRPr="00B90508" w:rsidRDefault="00B90508" w:rsidP="00B90508">
      <w:pPr>
        <w:numPr>
          <w:ilvl w:val="0"/>
          <w:numId w:val="36"/>
        </w:numPr>
        <w:spacing w:line="276" w:lineRule="auto"/>
        <w:contextualSpacing/>
        <w:rPr>
          <w:rFonts w:eastAsiaTheme="minorEastAsia"/>
        </w:rPr>
      </w:pPr>
      <w:r w:rsidRPr="00B90508">
        <w:rPr>
          <w:rFonts w:eastAsiaTheme="minorEastAsia"/>
        </w:rPr>
        <w:t>Are landowner / other necessary partnerships in place?</w:t>
      </w:r>
    </w:p>
    <w:p w14:paraId="6C41642F" w14:textId="77777777" w:rsidR="00B90508" w:rsidRPr="00B90508" w:rsidRDefault="00B90508" w:rsidP="00DB2B36">
      <w:pPr>
        <w:numPr>
          <w:ilvl w:val="0"/>
          <w:numId w:val="36"/>
        </w:numPr>
        <w:spacing w:line="276" w:lineRule="auto"/>
        <w:rPr>
          <w:rFonts w:eastAsiaTheme="minorEastAsia"/>
        </w:rPr>
      </w:pPr>
      <w:r w:rsidRPr="00B90508">
        <w:rPr>
          <w:rFonts w:eastAsiaTheme="minorEastAsia"/>
        </w:rPr>
        <w:t>Is there stakeholder interest and/or support?</w:t>
      </w:r>
    </w:p>
    <w:p w14:paraId="23AD5709" w14:textId="77777777" w:rsidR="00B90508" w:rsidRPr="00B90508" w:rsidRDefault="00B90508" w:rsidP="00B90508">
      <w:pPr>
        <w:spacing w:before="240" w:line="276" w:lineRule="auto"/>
        <w:rPr>
          <w:rFonts w:eastAsiaTheme="minorEastAsia"/>
        </w:rPr>
      </w:pPr>
      <w:r w:rsidRPr="00B90508">
        <w:rPr>
          <w:rFonts w:eastAsiaTheme="minorEastAsia"/>
        </w:rPr>
        <w:t>Projects which score 15 points or higher will be endorsed by the Alliance. Projects which score fewer than 15 points can be considered for endorsement on a case-by-case basis, based on project merit. The AHSS Executive Committee makes decisions about endorsement of projects that score less than 15 points, considering recommendations from the Technical Team, and on a case-by-case basis.</w:t>
      </w:r>
    </w:p>
    <w:p w14:paraId="4BF0C6C4" w14:textId="77777777" w:rsidR="00B90508" w:rsidRPr="00B90508" w:rsidRDefault="00B90508" w:rsidP="00B90508">
      <w:pPr>
        <w:spacing w:line="276" w:lineRule="auto"/>
        <w:rPr>
          <w:rFonts w:eastAsiaTheme="minorEastAsia"/>
        </w:rPr>
      </w:pPr>
      <w:r w:rsidRPr="00B90508">
        <w:rPr>
          <w:rFonts w:eastAsiaTheme="minorEastAsia"/>
        </w:rPr>
        <w:t>In addition, approximately every two years, the Alliance is required to develop a list of priority near-term actions for Puget Sound recovery and submit the list to the Puget Sound Partnership for review and approval. When this occurs the Alliance will issue a call for near-term actions describing our priorities for project submittals. It is likely that the Alliance call for actions will be informed by funding guidelines published by EPA and/or by the state agencies responsible for the habitat, shellfish, and stormwater Puget Sound strategic initiatives. Because the process and requirements to submit near-term actions for PSP consideration typically are extensive, the Alliance generally supplements it’s normal technical review process (described above) with a pre-screening/consultation process to, as much as possible, make sure we believe that actions will be able to successfully navigate AHSS and (as much as we can predict it) PSP review before project proponents invest time and resources in preparing full proposals. The AHSS Executive Committee makes final decisions about which near-term actions to submit to PSP as priorities for South Sound.</w:t>
      </w:r>
    </w:p>
    <w:p w14:paraId="6F062684" w14:textId="77777777" w:rsidR="00B90508" w:rsidRPr="00B90508" w:rsidRDefault="00B90508" w:rsidP="00B90508">
      <w:pPr>
        <w:spacing w:line="276" w:lineRule="auto"/>
        <w:rPr>
          <w:rFonts w:asciiTheme="majorHAnsi" w:eastAsiaTheme="majorEastAsia" w:hAnsiTheme="majorHAnsi" w:cstheme="majorBidi"/>
          <w:color w:val="1F4E79" w:themeColor="accent1" w:themeShade="80"/>
          <w:sz w:val="36"/>
          <w:szCs w:val="36"/>
        </w:rPr>
      </w:pPr>
      <w:r w:rsidRPr="00B90508">
        <w:rPr>
          <w:rFonts w:eastAsiaTheme="minorEastAsia"/>
        </w:rPr>
        <w:br w:type="page"/>
      </w:r>
    </w:p>
    <w:p w14:paraId="5A008392"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312" w:name="_Toc463000033"/>
      <w:r w:rsidRPr="00B90508">
        <w:rPr>
          <w:rFonts w:eastAsiaTheme="majorEastAsia" w:cstheme="minorHAnsi"/>
          <w:b/>
          <w:color w:val="FFFFFF" w:themeColor="background1"/>
          <w:sz w:val="36"/>
          <w:szCs w:val="36"/>
        </w:rPr>
        <w:lastRenderedPageBreak/>
        <w:t>Adaptive Management</w:t>
      </w:r>
      <w:bookmarkEnd w:id="312"/>
    </w:p>
    <w:p w14:paraId="60C46E59" w14:textId="77777777" w:rsidR="00B90508" w:rsidRPr="00B90508" w:rsidRDefault="00B90508" w:rsidP="00B90508">
      <w:pPr>
        <w:keepNext/>
        <w:keepLines/>
        <w:spacing w:before="200" w:after="120" w:line="240" w:lineRule="auto"/>
        <w:outlineLvl w:val="1"/>
        <w:rPr>
          <w:rFonts w:asciiTheme="majorHAnsi" w:eastAsia="Calibri" w:hAnsiTheme="majorHAnsi" w:cstheme="majorBidi"/>
          <w:color w:val="2B5A8E"/>
          <w:sz w:val="32"/>
          <w:szCs w:val="32"/>
          <w:u w:color="33CC33"/>
        </w:rPr>
      </w:pPr>
      <w:bookmarkStart w:id="313" w:name="_Toc463000034"/>
      <w:r w:rsidRPr="00B90508">
        <w:rPr>
          <w:rFonts w:asciiTheme="majorHAnsi" w:eastAsia="Calibri" w:hAnsiTheme="majorHAnsi" w:cstheme="majorBidi"/>
          <w:color w:val="2B5A8E"/>
          <w:sz w:val="32"/>
          <w:szCs w:val="32"/>
          <w:u w:color="33CC33"/>
        </w:rPr>
        <w:t>Definition</w:t>
      </w:r>
      <w:bookmarkEnd w:id="313"/>
    </w:p>
    <w:p w14:paraId="6ACA4544" w14:textId="77777777" w:rsidR="00B90508" w:rsidRPr="00B90508" w:rsidRDefault="00B90508" w:rsidP="00B90508">
      <w:pPr>
        <w:spacing w:line="276" w:lineRule="auto"/>
        <w:rPr>
          <w:rFonts w:eastAsiaTheme="minorEastAsia"/>
        </w:rPr>
      </w:pPr>
      <w:r w:rsidRPr="00B90508">
        <w:rPr>
          <w:rFonts w:ascii="Calibri" w:eastAsia="Calibri" w:hAnsi="Calibri" w:cs="Calibri"/>
          <w:color w:val="000000"/>
        </w:rPr>
        <w:t>Adaptive management is a process of paying attention to results and experiences of implementation over time, considering new and emerging information, and making changes to adjust and evolve strategies and actions to continuously improve performance and results.</w:t>
      </w:r>
    </w:p>
    <w:p w14:paraId="6CD021FC" w14:textId="77777777" w:rsidR="00B90508" w:rsidRPr="00B90508" w:rsidRDefault="00B90508" w:rsidP="00B90508">
      <w:pPr>
        <w:keepNext/>
        <w:keepLines/>
        <w:spacing w:before="200" w:after="120" w:line="240" w:lineRule="auto"/>
        <w:outlineLvl w:val="1"/>
        <w:rPr>
          <w:rFonts w:asciiTheme="majorHAnsi" w:eastAsia="Calibri" w:hAnsiTheme="majorHAnsi" w:cstheme="majorBidi"/>
          <w:color w:val="2B5A8E"/>
          <w:sz w:val="32"/>
          <w:szCs w:val="32"/>
          <w:u w:color="33CC33"/>
        </w:rPr>
      </w:pPr>
      <w:bookmarkStart w:id="314" w:name="_Toc463000035"/>
      <w:r w:rsidRPr="00B90508">
        <w:rPr>
          <w:rFonts w:asciiTheme="majorHAnsi" w:eastAsia="Calibri" w:hAnsiTheme="majorHAnsi" w:cstheme="majorBidi"/>
          <w:color w:val="2B5A8E"/>
          <w:sz w:val="32"/>
          <w:szCs w:val="32"/>
          <w:u w:color="33CC33"/>
        </w:rPr>
        <w:t>Adaptive Management Strategy</w:t>
      </w:r>
      <w:bookmarkEnd w:id="314"/>
    </w:p>
    <w:p w14:paraId="07B4AA20" w14:textId="77777777" w:rsidR="00B90508" w:rsidRPr="00B90508" w:rsidRDefault="00B90508" w:rsidP="00B90508">
      <w:pPr>
        <w:spacing w:line="276" w:lineRule="auto"/>
        <w:rPr>
          <w:rFonts w:eastAsiaTheme="minorEastAsia"/>
        </w:rPr>
      </w:pPr>
      <w:r w:rsidRPr="00B90508">
        <w:rPr>
          <w:rFonts w:ascii="Calibri" w:eastAsia="Calibri" w:hAnsi="Calibri" w:cs="Calibri"/>
          <w:color w:val="000000"/>
        </w:rPr>
        <w:t xml:space="preserve">The South Sound Strategy is the first comprehensive attempt to develop a rigorous, science-based approach to ecosystem management in and around South Sound. As such there is no previous adaptive management process within the South Sound LIO; the following information is a description of the Alliance’s approach to adaptively managing the South Sound Strategy in the future. The AHSS adaptive management approach follows the </w:t>
      </w:r>
      <w:r w:rsidRPr="00B90508">
        <w:rPr>
          <w:rFonts w:ascii="Calibri" w:eastAsia="Calibri" w:hAnsi="Calibri" w:cs="Calibri"/>
          <w:i/>
          <w:color w:val="000000"/>
        </w:rPr>
        <w:t xml:space="preserve">Conservation Measures Partnership (CMP) </w:t>
      </w:r>
      <w:r w:rsidRPr="00B90508">
        <w:rPr>
          <w:rFonts w:ascii="Calibri" w:eastAsia="Calibri" w:hAnsi="Calibri" w:cs="Calibri"/>
          <w:color w:val="000000"/>
        </w:rPr>
        <w:t xml:space="preserve">Cycle (Figure 1). </w:t>
      </w:r>
    </w:p>
    <w:p w14:paraId="38EF3E8E" w14:textId="77777777" w:rsidR="00B90508" w:rsidRPr="00B90508" w:rsidRDefault="00B90508" w:rsidP="00B90508">
      <w:pPr>
        <w:spacing w:line="276" w:lineRule="auto"/>
        <w:rPr>
          <w:rFonts w:eastAsiaTheme="minorEastAsia"/>
        </w:rPr>
      </w:pPr>
      <w:r w:rsidRPr="00B90508">
        <w:rPr>
          <w:rFonts w:eastAsiaTheme="minorEastAsia"/>
          <w:noProof/>
        </w:rPr>
        <mc:AlternateContent>
          <mc:Choice Requires="wps">
            <w:drawing>
              <wp:anchor distT="0" distB="182880" distL="274320" distR="114300" simplePos="0" relativeHeight="251669504" behindDoc="1" locked="0" layoutInCell="0" hidden="0" allowOverlap="1" wp14:anchorId="04822D7E" wp14:editId="1117EA35">
                <wp:simplePos x="0" y="0"/>
                <wp:positionH relativeFrom="margin">
                  <wp:posOffset>3089275</wp:posOffset>
                </wp:positionH>
                <wp:positionV relativeFrom="paragraph">
                  <wp:posOffset>2741204</wp:posOffset>
                </wp:positionV>
                <wp:extent cx="2832100" cy="330200"/>
                <wp:effectExtent l="0" t="0" r="6350" b="0"/>
                <wp:wrapSquare wrapText="bothSides" distT="0" distB="0" distL="114300" distR="114300"/>
                <wp:docPr id="3" name="Rectangle 3"/>
                <wp:cNvGraphicFramePr/>
                <a:graphic xmlns:a="http://schemas.openxmlformats.org/drawingml/2006/main">
                  <a:graphicData uri="http://schemas.microsoft.com/office/word/2010/wordprocessingShape">
                    <wps:wsp>
                      <wps:cNvSpPr/>
                      <wps:spPr>
                        <a:xfrm>
                          <a:off x="0" y="0"/>
                          <a:ext cx="2832100" cy="330200"/>
                        </a:xfrm>
                        <a:prstGeom prst="rect">
                          <a:avLst/>
                        </a:prstGeom>
                        <a:solidFill>
                          <a:srgbClr val="FFFFFF"/>
                        </a:solidFill>
                        <a:ln>
                          <a:noFill/>
                        </a:ln>
                      </wps:spPr>
                      <wps:txbx>
                        <w:txbxContent>
                          <w:p w14:paraId="36FC7301" w14:textId="77777777" w:rsidR="00B90508" w:rsidRDefault="00B90508" w:rsidP="00B90508">
                            <w:pPr>
                              <w:pStyle w:val="FigureTitle"/>
                            </w:pPr>
                            <w:r>
                              <w:t>Figure 1: Adaptive Management Cycle from Conservation Measures Partnership</w:t>
                            </w:r>
                          </w:p>
                          <w:p w14:paraId="0DD4B85F" w14:textId="77777777" w:rsidR="00B90508" w:rsidRDefault="00B90508" w:rsidP="00B90508">
                            <w:pPr>
                              <w:spacing w:line="258" w:lineRule="auto"/>
                              <w:textDirection w:val="btLr"/>
                            </w:pPr>
                          </w:p>
                        </w:txbxContent>
                      </wps:txbx>
                      <wps:bodyPr lIns="0" tIns="0" rIns="0" bIns="0" anchor="t" anchorCtr="0"/>
                    </wps:wsp>
                  </a:graphicData>
                </a:graphic>
              </wp:anchor>
            </w:drawing>
          </mc:Choice>
          <mc:Fallback>
            <w:pict>
              <v:rect w14:anchorId="04822D7E" id="Rectangle 3" o:spid="_x0000_s1030" style="position:absolute;margin-left:243.25pt;margin-top:215.85pt;width:223pt;height:26pt;z-index:-251646976;visibility:visible;mso-wrap-style:square;mso-wrap-distance-left:21.6pt;mso-wrap-distance-top:0;mso-wrap-distance-right:9pt;mso-wrap-distance-bottom:14.4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kCRrAEAAFcDAAAOAAAAZHJzL2Uyb0RvYy54bWysU8tu2zAQvBfIPxC815StoggEyzkkcBGg&#10;aIOm+QCKIiUCfGHJWvLfd0lZTpvciupAzZKrWc7san83W0NOEqL2rqXbTUWJdML32g0tffl5/HhL&#10;SUzc9dx4J1t6lpHeHW4+7KfQyJ0fveklECRxsZlCS8eUQsNYFKO0PG58kA4PlQfLE4YwsB74hOzW&#10;sF1VfWaThz6AFzJG3H1YDumh8CslRfquVJSJmJbi3VJZoaxdXtlhz5sBeBi1uFyD/8MtLNcOi16p&#10;Hnji5Bfod1RWC/DRq7QR3jKvlBayaEA12+qNmueRB1m0oDkxXG2K/49WfDs9AdF9S2tKHLfYoh9o&#10;GneDkaTO9kwhNpj1HJ7gEkWEWeuswOY3qiBzsfR8tVTOiQjc3N3Wu22Fzgs8q+sKe5ZJ2evXAWL6&#10;Ir0lGbQUsHpxkp++xrSkrim5WPRG90dtTAlg6O4NkBPH9h7Lc2H/K824nOx8/mxhzDssK1u0ZJTm&#10;bi5GfFpVd74/oznm0aHheXhWACvoVsCdGD2OVaJkgfepDFmulsmxe0X0ZdLyePwZl6zX/+HwGwAA&#10;//8DAFBLAwQUAAYACAAAACEABIPczN4AAAALAQAADwAAAGRycy9kb3ducmV2LnhtbEyPS0/DMBCE&#10;70j8B2uRuFEnDbQlxKkQD/XcQNWrGy9xwI8odlrDr2d7gtvuzmj2m2qdrGFHHEPvnYB8lgFD13rV&#10;u07A+9vrzQpYiNIpabxDAd8YYF1fXlSyVP7ktnhsYscoxIVSCtAxDiXnodVoZZj5AR1pH360MtI6&#10;dlyN8kTh1vB5li24lb2jD1oO+KSx/WomK2CTP78Mn/ynkRsTcdrp1Jp9EuL6Kj0+AIuY4p8ZzviE&#10;DjUxHfzkVGBGwO1qcUdWGop8CYwc98WcLoezVCyB1xX/36H+BQAA//8DAFBLAQItABQABgAIAAAA&#10;IQC2gziS/gAAAOEBAAATAAAAAAAAAAAAAAAAAAAAAABbQ29udGVudF9UeXBlc10ueG1sUEsBAi0A&#10;FAAGAAgAAAAhADj9If/WAAAAlAEAAAsAAAAAAAAAAAAAAAAALwEAAF9yZWxzLy5yZWxzUEsBAi0A&#10;FAAGAAgAAAAhAKduQJGsAQAAVwMAAA4AAAAAAAAAAAAAAAAALgIAAGRycy9lMm9Eb2MueG1sUEsB&#10;Ai0AFAAGAAgAAAAhAASD3MzeAAAACwEAAA8AAAAAAAAAAAAAAAAABgQAAGRycy9kb3ducmV2Lnht&#10;bFBLBQYAAAAABAAEAPMAAAARBQAAAAA=&#10;" o:allowincell="f" stroked="f">
                <v:textbox inset="0,0,0,0">
                  <w:txbxContent>
                    <w:p w14:paraId="36FC7301" w14:textId="77777777" w:rsidR="00B90508" w:rsidRDefault="00B90508" w:rsidP="00B90508">
                      <w:pPr>
                        <w:pStyle w:val="FigureTitle"/>
                      </w:pPr>
                      <w:r>
                        <w:t>Figure 1: Adaptive Management Cycle from Conservation Measures Partnership</w:t>
                      </w:r>
                    </w:p>
                    <w:p w14:paraId="0DD4B85F" w14:textId="77777777" w:rsidR="00B90508" w:rsidRDefault="00B90508" w:rsidP="00B90508">
                      <w:pPr>
                        <w:spacing w:line="258" w:lineRule="auto"/>
                        <w:textDirection w:val="btLr"/>
                      </w:pPr>
                    </w:p>
                  </w:txbxContent>
                </v:textbox>
                <w10:wrap type="square" anchorx="margin"/>
              </v:rect>
            </w:pict>
          </mc:Fallback>
        </mc:AlternateContent>
      </w:r>
      <w:r w:rsidRPr="00B90508">
        <w:rPr>
          <w:rFonts w:eastAsiaTheme="minorEastAsia"/>
          <w:noProof/>
        </w:rPr>
        <w:drawing>
          <wp:anchor distT="0" distB="182880" distL="274320" distR="114300" simplePos="0" relativeHeight="251670528" behindDoc="0" locked="0" layoutInCell="0" hidden="0" allowOverlap="1" wp14:anchorId="5D80A5E7" wp14:editId="2B698708">
            <wp:simplePos x="0" y="0"/>
            <wp:positionH relativeFrom="margin">
              <wp:posOffset>3105150</wp:posOffset>
            </wp:positionH>
            <wp:positionV relativeFrom="paragraph">
              <wp:posOffset>103778</wp:posOffset>
            </wp:positionV>
            <wp:extent cx="2834005" cy="2619375"/>
            <wp:effectExtent l="0" t="0" r="4445" b="9525"/>
            <wp:wrapSquare wrapText="bothSides" distT="0" distB="0" distL="114300" distR="114300"/>
            <wp:docPr id="259" name="image01.jpg" descr="C:\Users\andy\AppData\Local\Temp\CMP_Cycle_-_2008-02-20.jpg"/>
            <wp:cNvGraphicFramePr/>
            <a:graphic xmlns:a="http://schemas.openxmlformats.org/drawingml/2006/main">
              <a:graphicData uri="http://schemas.openxmlformats.org/drawingml/2006/picture">
                <pic:pic xmlns:pic="http://schemas.openxmlformats.org/drawingml/2006/picture">
                  <pic:nvPicPr>
                    <pic:cNvPr id="0" name="image01.jpg" descr="C:\Users\andy\AppData\Local\Temp\CMP_Cycle_-_2008-02-20.jpg"/>
                    <pic:cNvPicPr preferRelativeResize="0"/>
                  </pic:nvPicPr>
                  <pic:blipFill>
                    <a:blip r:embed="rId18"/>
                    <a:srcRect/>
                    <a:stretch>
                      <a:fillRect/>
                    </a:stretch>
                  </pic:blipFill>
                  <pic:spPr>
                    <a:xfrm>
                      <a:off x="0" y="0"/>
                      <a:ext cx="2834005" cy="2619375"/>
                    </a:xfrm>
                    <a:prstGeom prst="rect">
                      <a:avLst/>
                    </a:prstGeom>
                    <a:ln/>
                  </pic:spPr>
                </pic:pic>
              </a:graphicData>
            </a:graphic>
          </wp:anchor>
        </w:drawing>
      </w:r>
      <w:r w:rsidRPr="00B90508">
        <w:rPr>
          <w:rFonts w:eastAsia="Calibri"/>
        </w:rPr>
        <w:t>Conceptualization (step 1), and action and plan monitoring (step 2), are underway with the South Sound Strategy. Action implementation and monitoring (step 3) is taking place through ongoing projects as implemented and monitored by South Sound partners (captured to a limited extent in the suite of South Sound NTAs) and will also occur as South Sound partners implement projects based on the South Sound Strategy framework. As d</w:t>
      </w:r>
      <w:r w:rsidRPr="00B90508">
        <w:rPr>
          <w:rFonts w:eastAsiaTheme="minorEastAsia"/>
        </w:rPr>
        <w:t>a</w:t>
      </w:r>
      <w:r w:rsidRPr="00B90508">
        <w:rPr>
          <w:rFonts w:eastAsia="Calibri"/>
        </w:rPr>
        <w:t>ta and results become available from these projects (step 4), South Sound partners will share lessons learned through the South Sound LIO convening forum (step 5). The AHSS Technical Team will compile this information and use it as additional input to refine the South Sound Strategy.</w:t>
      </w:r>
    </w:p>
    <w:p w14:paraId="4D3F9884" w14:textId="77777777" w:rsidR="00B90508" w:rsidRPr="00B90508" w:rsidRDefault="00B90508" w:rsidP="00B90508">
      <w:pPr>
        <w:spacing w:line="276" w:lineRule="auto"/>
        <w:rPr>
          <w:rFonts w:eastAsiaTheme="minorEastAsia"/>
        </w:rPr>
      </w:pPr>
      <w:r w:rsidRPr="00B90508">
        <w:rPr>
          <w:rFonts w:eastAsia="Calibri"/>
        </w:rPr>
        <w:t>AHSS will pursue adaptive management of the South Sound strategy by regularly reviewing efforts and results including consideration of:</w:t>
      </w:r>
    </w:p>
    <w:p w14:paraId="1BCACC02" w14:textId="77777777" w:rsidR="00B90508" w:rsidRPr="00B90508" w:rsidRDefault="00B90508" w:rsidP="00B90508">
      <w:pPr>
        <w:numPr>
          <w:ilvl w:val="0"/>
          <w:numId w:val="35"/>
        </w:numPr>
        <w:spacing w:line="276" w:lineRule="auto"/>
        <w:contextualSpacing/>
        <w:rPr>
          <w:rFonts w:eastAsiaTheme="minorEastAsia"/>
        </w:rPr>
      </w:pPr>
      <w:r w:rsidRPr="00B90508">
        <w:rPr>
          <w:rFonts w:ascii="Calibri" w:eastAsia="Calibri" w:hAnsi="Calibri" w:cs="Calibri"/>
          <w:color w:val="000000"/>
        </w:rPr>
        <w:t>What strategies have been executed and to what extent, for example, for the strategy of septic to sewer conversion in urban areas, review of how many have been accomplished and where.</w:t>
      </w:r>
    </w:p>
    <w:p w14:paraId="4E012A37" w14:textId="77777777" w:rsidR="00B90508" w:rsidRPr="00B90508" w:rsidRDefault="00B90508" w:rsidP="00B90508">
      <w:pPr>
        <w:numPr>
          <w:ilvl w:val="0"/>
          <w:numId w:val="35"/>
        </w:numPr>
        <w:spacing w:line="276" w:lineRule="auto"/>
        <w:contextualSpacing/>
        <w:rPr>
          <w:rFonts w:eastAsiaTheme="minorEastAsia"/>
        </w:rPr>
      </w:pPr>
      <w:r w:rsidRPr="00B90508">
        <w:rPr>
          <w:rFonts w:ascii="Calibri" w:eastAsia="Calibri" w:hAnsi="Calibri" w:cs="Calibri"/>
          <w:color w:val="000000"/>
        </w:rPr>
        <w:t>Where performance and results are not moving as quickly as desired work with program implementers and project sponsors to identify barriers to implementation and/or program refinements.</w:t>
      </w:r>
    </w:p>
    <w:p w14:paraId="1DBD5062" w14:textId="77777777" w:rsidR="00B90508" w:rsidRPr="00B90508" w:rsidRDefault="00B90508" w:rsidP="00B90508">
      <w:pPr>
        <w:numPr>
          <w:ilvl w:val="0"/>
          <w:numId w:val="35"/>
        </w:numPr>
        <w:spacing w:line="276" w:lineRule="auto"/>
        <w:contextualSpacing/>
        <w:rPr>
          <w:rFonts w:eastAsiaTheme="minorEastAsia"/>
        </w:rPr>
      </w:pPr>
      <w:r w:rsidRPr="00B90508">
        <w:rPr>
          <w:rFonts w:ascii="Calibri" w:eastAsia="Calibri" w:hAnsi="Calibri" w:cs="Calibri"/>
          <w:color w:val="000000"/>
        </w:rPr>
        <w:t>Review of South Sound goals and targets to track progress and to adjust over time as needed.</w:t>
      </w:r>
    </w:p>
    <w:p w14:paraId="02C16F43" w14:textId="77777777" w:rsidR="00B90508" w:rsidRPr="00B90508" w:rsidRDefault="00B90508" w:rsidP="00DB2B36">
      <w:pPr>
        <w:numPr>
          <w:ilvl w:val="0"/>
          <w:numId w:val="35"/>
        </w:numPr>
        <w:spacing w:line="276" w:lineRule="auto"/>
        <w:rPr>
          <w:rFonts w:eastAsiaTheme="minorEastAsia"/>
        </w:rPr>
      </w:pPr>
      <w:r w:rsidRPr="00B90508">
        <w:rPr>
          <w:rFonts w:ascii="Calibri" w:eastAsia="Calibri" w:hAnsi="Calibri" w:cs="Calibri"/>
          <w:color w:val="000000"/>
        </w:rPr>
        <w:lastRenderedPageBreak/>
        <w:t>Adjustment of our conceptual models and strategies to new scientific and technical information when needed.</w:t>
      </w:r>
    </w:p>
    <w:p w14:paraId="51D5FE88" w14:textId="77777777" w:rsidR="00B90508" w:rsidRPr="00B90508" w:rsidRDefault="00B90508" w:rsidP="00B90508">
      <w:pPr>
        <w:spacing w:line="276" w:lineRule="auto"/>
        <w:rPr>
          <w:rFonts w:eastAsiaTheme="minorEastAsia"/>
        </w:rPr>
      </w:pPr>
      <w:r w:rsidRPr="00B90508">
        <w:rPr>
          <w:rFonts w:eastAsia="Calibri"/>
        </w:rPr>
        <w:t xml:space="preserve">AHSS will accomplish adaptive management primarily through ongoing discussions with the South Sound Technical Team and the AHSS Council. The AHSS Executive Committee will continue to make decisions about changes to South Sound goals or targets in response to advice from the Technical Team and Council. We anticipate at least one plan review per year and we may consider carrying out this review as a session at the longstanding and well attended South Sound Science Symposium. </w:t>
      </w:r>
    </w:p>
    <w:p w14:paraId="19929328" w14:textId="77777777" w:rsidR="00B90508" w:rsidRPr="00B90508" w:rsidRDefault="00B90508" w:rsidP="00B90508">
      <w:pPr>
        <w:spacing w:line="276" w:lineRule="auto"/>
        <w:rPr>
          <w:rFonts w:eastAsiaTheme="minorEastAsia"/>
        </w:rPr>
      </w:pPr>
      <w:r w:rsidRPr="00B90508">
        <w:rPr>
          <w:rFonts w:eastAsia="Calibri"/>
        </w:rPr>
        <w:t>We note that adaptive management and evolutionary decision making involve a combination of responding to scientific and technical information and interactions with policy makers, project sponsors, and the broader community so the overall South Sound Strategy can continue to reflect what is needed and what can be done.</w:t>
      </w:r>
    </w:p>
    <w:p w14:paraId="272437A8" w14:textId="77777777" w:rsidR="00B90508" w:rsidRPr="00B90508" w:rsidRDefault="00B90508" w:rsidP="00B90508">
      <w:pPr>
        <w:keepNext/>
        <w:keepLines/>
        <w:spacing w:before="200" w:after="120" w:line="240" w:lineRule="auto"/>
        <w:outlineLvl w:val="1"/>
        <w:rPr>
          <w:rFonts w:asciiTheme="majorHAnsi" w:eastAsia="Calibri" w:hAnsiTheme="majorHAnsi" w:cstheme="majorBidi"/>
          <w:color w:val="2B5A8E"/>
          <w:sz w:val="32"/>
          <w:szCs w:val="32"/>
          <w:u w:color="33CC33"/>
        </w:rPr>
      </w:pPr>
      <w:bookmarkStart w:id="315" w:name="_Toc463000036"/>
      <w:r w:rsidRPr="00B90508">
        <w:rPr>
          <w:rFonts w:asciiTheme="majorHAnsi" w:eastAsia="Calibri" w:hAnsiTheme="majorHAnsi" w:cstheme="majorBidi"/>
          <w:color w:val="2B5A8E"/>
          <w:sz w:val="32"/>
          <w:szCs w:val="32"/>
          <w:u w:color="33CC33"/>
        </w:rPr>
        <w:t>Decision Process</w:t>
      </w:r>
      <w:bookmarkEnd w:id="315"/>
    </w:p>
    <w:p w14:paraId="3377DE81" w14:textId="77777777" w:rsidR="00B90508" w:rsidRPr="00B90508" w:rsidRDefault="00B90508" w:rsidP="00B90508">
      <w:pPr>
        <w:spacing w:after="240" w:line="276" w:lineRule="auto"/>
        <w:rPr>
          <w:rFonts w:eastAsia="Calibri"/>
        </w:rPr>
      </w:pPr>
      <w:r w:rsidRPr="00B90508">
        <w:rPr>
          <w:rFonts w:eastAsia="Calibri"/>
        </w:rPr>
        <w:t>The South Sound LIO decision process for adaptively managing the South Sound Strategy will follow a similar structure to current LIO decision making and is described in Figure 2 below. The AHSS Technical Team will compile emerging data and project results on an ongoing basis and will bring compiled data to the annual review session as described above). The Technical Team will develop a list of recommendations for adaptation of the South Sound Strategy; the AHSS Council will review the recommendations and provided feedback. After Council feedback, the Technical Team will submit its recommendations to the Executive Committee, which will make final decision. The Technical Team will then review the South Sound Strategy by the direction indicated by the Executive Committee. The revised strategy will be circulated with AHSS Council members to ensure broad distribution to parties working in and around South Sound.</w:t>
      </w:r>
    </w:p>
    <w:p w14:paraId="189FD6BA" w14:textId="77777777" w:rsidR="00B90508" w:rsidRPr="00B90508" w:rsidRDefault="00B90508" w:rsidP="00B90508">
      <w:pPr>
        <w:spacing w:after="120" w:line="276" w:lineRule="auto"/>
        <w:rPr>
          <w:rFonts w:eastAsiaTheme="minorEastAsia"/>
        </w:rPr>
      </w:pPr>
      <w:r w:rsidRPr="00B90508">
        <w:rPr>
          <w:rFonts w:eastAsiaTheme="minorEastAsia"/>
          <w:noProof/>
        </w:rPr>
        <w:drawing>
          <wp:inline distT="114300" distB="114300" distL="114300" distR="114300" wp14:anchorId="0A6DF7E8" wp14:editId="37CC2306">
            <wp:extent cx="5943600" cy="2447925"/>
            <wp:effectExtent l="0" t="0" r="0" b="0"/>
            <wp:docPr id="260" name="image03.png"/>
            <wp:cNvGraphicFramePr/>
            <a:graphic xmlns:a="http://schemas.openxmlformats.org/drawingml/2006/main">
              <a:graphicData uri="http://schemas.openxmlformats.org/drawingml/2006/picture">
                <pic:pic xmlns:pic="http://schemas.openxmlformats.org/drawingml/2006/picture">
                  <pic:nvPicPr>
                    <pic:cNvPr id="0" name="image03.png"/>
                    <pic:cNvPicPr preferRelativeResize="0"/>
                  </pic:nvPicPr>
                  <pic:blipFill>
                    <a:blip r:embed="rId19"/>
                    <a:srcRect/>
                    <a:stretch>
                      <a:fillRect/>
                    </a:stretch>
                  </pic:blipFill>
                  <pic:spPr>
                    <a:xfrm>
                      <a:off x="0" y="0"/>
                      <a:ext cx="5943600" cy="2447925"/>
                    </a:xfrm>
                    <a:prstGeom prst="rect">
                      <a:avLst/>
                    </a:prstGeom>
                    <a:ln/>
                  </pic:spPr>
                </pic:pic>
              </a:graphicData>
            </a:graphic>
          </wp:inline>
        </w:drawing>
      </w:r>
    </w:p>
    <w:p w14:paraId="46FD6B92" w14:textId="77777777" w:rsidR="00B90508" w:rsidRPr="00B90508" w:rsidRDefault="00B90508" w:rsidP="00B90508">
      <w:pPr>
        <w:spacing w:before="100" w:after="300" w:line="276" w:lineRule="auto"/>
        <w:jc w:val="center"/>
        <w:rPr>
          <w:rFonts w:ascii="Calibri" w:eastAsia="Calibri" w:hAnsi="Calibri" w:cs="Calibri"/>
          <w:b/>
          <w:sz w:val="18"/>
        </w:rPr>
      </w:pPr>
      <w:r w:rsidRPr="00B90508">
        <w:rPr>
          <w:rFonts w:ascii="Calibri" w:eastAsia="Calibri" w:hAnsi="Calibri" w:cs="Calibri"/>
          <w:b/>
          <w:sz w:val="18"/>
        </w:rPr>
        <w:t>Figure 2: AHSS Decision Making Structure</w:t>
      </w:r>
    </w:p>
    <w:p w14:paraId="03149D41" w14:textId="77777777" w:rsidR="00B90508" w:rsidRPr="00B90508" w:rsidRDefault="00B90508" w:rsidP="00B90508">
      <w:pPr>
        <w:spacing w:line="276" w:lineRule="auto"/>
        <w:rPr>
          <w:rFonts w:eastAsiaTheme="minorEastAsia"/>
        </w:rPr>
        <w:sectPr w:rsidR="00B90508" w:rsidRPr="00B90508" w:rsidSect="00B90508">
          <w:pgSz w:w="12240" w:h="15840"/>
          <w:pgMar w:top="1440" w:right="1440" w:bottom="1440" w:left="1440" w:header="720" w:footer="720" w:gutter="0"/>
          <w:cols w:space="720"/>
        </w:sectPr>
      </w:pPr>
    </w:p>
    <w:p w14:paraId="48E17897" w14:textId="77777777" w:rsidR="00B90508" w:rsidRPr="00B90508" w:rsidRDefault="00B90508" w:rsidP="00B90508">
      <w:pPr>
        <w:keepNext/>
        <w:keepLines/>
        <w:pBdr>
          <w:top w:val="single" w:sz="24" w:space="1" w:color="2B5A8E"/>
          <w:left w:val="single" w:sz="24" w:space="4" w:color="2B5A8E"/>
          <w:bottom w:val="single" w:sz="18" w:space="1" w:color="33CC33"/>
          <w:right w:val="single" w:sz="24" w:space="4" w:color="2B5A8E"/>
        </w:pBdr>
        <w:shd w:val="clear" w:color="auto" w:fill="2B5A8E"/>
        <w:spacing w:before="200" w:after="200" w:line="240" w:lineRule="auto"/>
        <w:ind w:left="504" w:hanging="504"/>
        <w:outlineLvl w:val="0"/>
        <w:rPr>
          <w:rFonts w:eastAsiaTheme="majorEastAsia" w:cstheme="minorHAnsi"/>
          <w:b/>
          <w:color w:val="FFFFFF" w:themeColor="background1"/>
          <w:sz w:val="36"/>
          <w:szCs w:val="36"/>
        </w:rPr>
      </w:pPr>
      <w:bookmarkStart w:id="316" w:name="_Toc463000037"/>
      <w:r w:rsidRPr="00B90508">
        <w:rPr>
          <w:rFonts w:eastAsiaTheme="majorEastAsia" w:cstheme="minorHAnsi"/>
          <w:b/>
          <w:color w:val="FFFFFF" w:themeColor="background1"/>
          <w:sz w:val="36"/>
          <w:szCs w:val="36"/>
        </w:rPr>
        <w:lastRenderedPageBreak/>
        <w:t>Appendix A – Descriptions of Inlet/Island Groups</w:t>
      </w:r>
      <w:bookmarkEnd w:id="316"/>
    </w:p>
    <w:p w14:paraId="0CDC189F"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17" w:name="_Toc463000038"/>
      <w:r w:rsidRPr="00B90508">
        <w:rPr>
          <w:rFonts w:asciiTheme="majorHAnsi" w:eastAsiaTheme="majorEastAsia" w:hAnsiTheme="majorHAnsi" w:cstheme="majorBidi"/>
          <w:color w:val="2B5A8E"/>
          <w:sz w:val="32"/>
          <w:szCs w:val="32"/>
          <w:u w:color="33CC33"/>
        </w:rPr>
        <w:t>Budd Inlet</w:t>
      </w:r>
      <w:bookmarkEnd w:id="317"/>
    </w:p>
    <w:p w14:paraId="72A9351F" w14:textId="77777777" w:rsidR="00B90508" w:rsidRPr="00B90508" w:rsidRDefault="00B90508" w:rsidP="00B90508">
      <w:pPr>
        <w:spacing w:line="276" w:lineRule="auto"/>
        <w:rPr>
          <w:rFonts w:eastAsiaTheme="minorEastAsia"/>
        </w:rPr>
      </w:pPr>
      <w:bookmarkStart w:id="318" w:name="_icxarok3qypo" w:colFirst="0" w:colLast="0"/>
      <w:bookmarkEnd w:id="318"/>
      <w:r w:rsidRPr="00B90508">
        <w:rPr>
          <w:rFonts w:eastAsiaTheme="minorEastAsia"/>
        </w:rPr>
        <w:t>Budd Inlet is six miles long and is the southernmost arm of</w:t>
      </w:r>
      <w:hyperlink r:id="rId147">
        <w:r w:rsidRPr="00B90508">
          <w:rPr>
            <w:rFonts w:eastAsiaTheme="minorEastAsia"/>
          </w:rPr>
          <w:t xml:space="preserve"> </w:t>
        </w:r>
      </w:hyperlink>
      <w:r w:rsidRPr="00B90508">
        <w:rPr>
          <w:rFonts w:eastAsiaTheme="minorEastAsia"/>
        </w:rPr>
        <w:t>Puget Sound, with the city of Olympia located at the southern end. Budd Inlet is an urbanized inlet with an intact dam (5</w:t>
      </w:r>
      <w:r w:rsidRPr="00B90508">
        <w:rPr>
          <w:rFonts w:eastAsiaTheme="minorEastAsia"/>
          <w:vertAlign w:val="superscript"/>
        </w:rPr>
        <w:t>th</w:t>
      </w:r>
      <w:r w:rsidRPr="00B90508">
        <w:rPr>
          <w:rFonts w:eastAsiaTheme="minorEastAsia"/>
        </w:rPr>
        <w:t xml:space="preserve"> Avenue dam) at the South end of the Deschutes estuary. It has chronically high and persistent fecal coliform bacteria counts, high sensitivity to eutrophication and the highest concentrations of Nitrites in the Puget Sound in the inner inlet (Newton, 2002). It is also CWA 1998 303(d) listed for dissolved oxygen, pH, contaminated sediment and extensive chemical contamination, including Ammonium-N as well as PCBs (detected in the Dutch et. al. 2003 sediment study). Utilizing five indicators of water quality concern (strong stratification, low DO, limiting nutrients, high fecal coliform bacteria concentrations, and high ammonium concentrations), Butt Inlet was within the highest concern category for the state’s marine stations during 1998 – 2000 (Newton et. al. 2002). Budd Inlet contains documented surf smelt spawning areas as well as other critical faunal areas in the nearshore, feeder bluffs and areas of prohibited shellfish harvest.</w:t>
      </w:r>
    </w:p>
    <w:p w14:paraId="6067CA4A" w14:textId="77777777" w:rsidR="00B90508" w:rsidRPr="00B90508" w:rsidRDefault="00B90508" w:rsidP="00B90508">
      <w:pPr>
        <w:spacing w:line="276" w:lineRule="auto"/>
        <w:rPr>
          <w:rFonts w:eastAsiaTheme="minorEastAsia"/>
        </w:rPr>
      </w:pPr>
      <w:bookmarkStart w:id="319" w:name="_lfz57wxjl94d" w:colFirst="0" w:colLast="0"/>
      <w:bookmarkEnd w:id="319"/>
      <w:r w:rsidRPr="00B90508">
        <w:rPr>
          <w:rFonts w:eastAsiaTheme="minorEastAsia"/>
        </w:rPr>
        <w:t>[insert map]</w:t>
      </w:r>
    </w:p>
    <w:p w14:paraId="08C8659C"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20" w:name="_t0oq4ytn4utf" w:colFirst="0" w:colLast="0"/>
      <w:bookmarkStart w:id="321" w:name="_141dssaka9gm" w:colFirst="0" w:colLast="0"/>
      <w:bookmarkStart w:id="322" w:name="_Toc463000039"/>
      <w:bookmarkEnd w:id="320"/>
      <w:bookmarkEnd w:id="321"/>
      <w:r w:rsidRPr="00B90508">
        <w:rPr>
          <w:rFonts w:asciiTheme="majorHAnsi" w:eastAsiaTheme="majorEastAsia" w:hAnsiTheme="majorHAnsi" w:cstheme="majorBidi"/>
          <w:color w:val="2B5A8E"/>
          <w:sz w:val="32"/>
          <w:szCs w:val="32"/>
          <w:u w:color="33CC33"/>
        </w:rPr>
        <w:t>Carr Inlet</w:t>
      </w:r>
      <w:bookmarkEnd w:id="322"/>
    </w:p>
    <w:p w14:paraId="0AEEB44B" w14:textId="77777777" w:rsidR="00B90508" w:rsidRPr="00B90508" w:rsidRDefault="00B90508" w:rsidP="00B90508">
      <w:pPr>
        <w:spacing w:line="276" w:lineRule="auto"/>
        <w:rPr>
          <w:rFonts w:eastAsiaTheme="minorEastAsia"/>
        </w:rPr>
      </w:pPr>
      <w:bookmarkStart w:id="323" w:name="_xysczyt9s1oy" w:colFirst="0" w:colLast="0"/>
      <w:bookmarkEnd w:id="323"/>
      <w:r w:rsidRPr="00B90508">
        <w:rPr>
          <w:rFonts w:eastAsiaTheme="minorEastAsia"/>
        </w:rPr>
        <w:t>Carr Inlet is located between Key Peninsula and Gig Harbor Peninsula. Its southern end is connected to the southern basin of Puget Sound. Northward, it separates McNeil Island and Fox Island as well as the peninsulas of Key and Gig Harbor. Henderson Bay is at the northern end of Carr Inlet. Carr Inlet has been identified as a CWA 1998 Section 303 (d) listed inlet for both dissolved oxygen and fecal coliform. Proposed listings for pH and for toxic sediment contamination, including PCBs (Dutch et. al. 2003) were also made in 2002/2004. Dissolved oxygen is low and Nitrites were high (Newton et. al. 2002). Carr Inlet has areas of extensive eelgrass beds, forage fish spawning and active feeder bluff.</w:t>
      </w:r>
    </w:p>
    <w:p w14:paraId="02875194" w14:textId="77777777" w:rsidR="00B90508" w:rsidRPr="00B90508" w:rsidRDefault="00B90508" w:rsidP="00B90508">
      <w:pPr>
        <w:spacing w:line="276" w:lineRule="auto"/>
        <w:rPr>
          <w:rFonts w:eastAsiaTheme="minorEastAsia"/>
        </w:rPr>
      </w:pPr>
      <w:bookmarkStart w:id="324" w:name="_ac74h8a1yc4y" w:colFirst="0" w:colLast="0"/>
      <w:bookmarkEnd w:id="324"/>
      <w:r w:rsidRPr="00B90508">
        <w:rPr>
          <w:rFonts w:eastAsiaTheme="minorEastAsia"/>
        </w:rPr>
        <w:t>[insert map]</w:t>
      </w:r>
    </w:p>
    <w:p w14:paraId="1C515450"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25" w:name="_qvwxrxgvy14" w:colFirst="0" w:colLast="0"/>
      <w:bookmarkStart w:id="326" w:name="_rrmk97dxdymf" w:colFirst="0" w:colLast="0"/>
      <w:bookmarkStart w:id="327" w:name="_Toc463000040"/>
      <w:bookmarkEnd w:id="325"/>
      <w:bookmarkEnd w:id="326"/>
      <w:r w:rsidRPr="00B90508">
        <w:rPr>
          <w:rFonts w:asciiTheme="majorHAnsi" w:eastAsiaTheme="majorEastAsia" w:hAnsiTheme="majorHAnsi" w:cstheme="majorBidi"/>
          <w:color w:val="2B5A8E"/>
          <w:sz w:val="32"/>
          <w:szCs w:val="32"/>
          <w:u w:color="33CC33"/>
        </w:rPr>
        <w:t>Case Inlet</w:t>
      </w:r>
      <w:bookmarkEnd w:id="327"/>
    </w:p>
    <w:p w14:paraId="771C47B8" w14:textId="77777777" w:rsidR="00B90508" w:rsidRPr="00B90508" w:rsidRDefault="00B90508" w:rsidP="00B90508">
      <w:pPr>
        <w:spacing w:line="276" w:lineRule="auto"/>
        <w:rPr>
          <w:rFonts w:eastAsiaTheme="minorEastAsia"/>
        </w:rPr>
      </w:pPr>
      <w:bookmarkStart w:id="328" w:name="_wogxjyu3o6x" w:colFirst="0" w:colLast="0"/>
      <w:bookmarkEnd w:id="328"/>
      <w:r w:rsidRPr="00B90508">
        <w:rPr>
          <w:rFonts w:eastAsiaTheme="minorEastAsia"/>
        </w:rPr>
        <w:t>Case Inlet is located between Key Peninsula and Harstene Island. Its northern end, called North Bay, reaches nearly to Hood Canal, creating the defining isthmus of Kitsap Peninsula. Case Inlet is the boundary between Pierce County and Mason County. The southern end of Case Inlet is connected to Nisqually Reach, part of the southern basin of Puget Sound. Herron Island lies in Case Inlet. Case Inlet was CWA 1998 Section 303(d) listed for pH, and fecal coliform. 2002/2004 additional proposed listings made were for dissolved oxygen, phthalates and for three toxic sediment contaminants. It is recorded as having low dissolved oxygen (based on Ecology marine monitoring) and high ammonium and nitrites (Newton et al. 2002). Case inlet has been documented as having forage fish spawning areas, feeder bluffs and eelgrass beds as well as a number of high priority conservation areas.</w:t>
      </w:r>
    </w:p>
    <w:p w14:paraId="12F859B4" w14:textId="77777777" w:rsidR="00B90508" w:rsidRPr="00B90508" w:rsidRDefault="00B90508" w:rsidP="00B90508">
      <w:pPr>
        <w:spacing w:line="276" w:lineRule="auto"/>
        <w:rPr>
          <w:rFonts w:eastAsiaTheme="minorEastAsia"/>
        </w:rPr>
      </w:pPr>
      <w:bookmarkStart w:id="329" w:name="_48t78c5kv9zk" w:colFirst="0" w:colLast="0"/>
      <w:bookmarkEnd w:id="329"/>
      <w:r w:rsidRPr="00B90508">
        <w:rPr>
          <w:rFonts w:eastAsiaTheme="minorEastAsia"/>
        </w:rPr>
        <w:t>[insert map]</w:t>
      </w:r>
    </w:p>
    <w:p w14:paraId="5C960B9B"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30" w:name="_3wrmj7mtwjht" w:colFirst="0" w:colLast="0"/>
      <w:bookmarkStart w:id="331" w:name="_fuwrxv1mlwy2" w:colFirst="0" w:colLast="0"/>
      <w:bookmarkStart w:id="332" w:name="_Toc463000041"/>
      <w:bookmarkEnd w:id="330"/>
      <w:bookmarkEnd w:id="331"/>
      <w:r w:rsidRPr="00B90508">
        <w:rPr>
          <w:rFonts w:asciiTheme="majorHAnsi" w:eastAsiaTheme="majorEastAsia" w:hAnsiTheme="majorHAnsi" w:cstheme="majorBidi"/>
          <w:color w:val="2B5A8E"/>
          <w:sz w:val="32"/>
          <w:szCs w:val="32"/>
          <w:u w:color="33CC33"/>
        </w:rPr>
        <w:lastRenderedPageBreak/>
        <w:t>Eld Inlet</w:t>
      </w:r>
      <w:bookmarkEnd w:id="332"/>
    </w:p>
    <w:p w14:paraId="03482283" w14:textId="77777777" w:rsidR="00B90508" w:rsidRPr="00B90508" w:rsidRDefault="00B90508" w:rsidP="00B90508">
      <w:pPr>
        <w:spacing w:line="276" w:lineRule="auto"/>
        <w:rPr>
          <w:rFonts w:eastAsiaTheme="minorEastAsia"/>
        </w:rPr>
      </w:pPr>
      <w:bookmarkStart w:id="333" w:name="_p3u75lly6u0n" w:colFirst="0" w:colLast="0"/>
      <w:bookmarkStart w:id="334" w:name="_dxiwgtl3cpwf" w:colFirst="0" w:colLast="0"/>
      <w:bookmarkEnd w:id="333"/>
      <w:bookmarkEnd w:id="334"/>
      <w:r w:rsidRPr="00B90508">
        <w:rPr>
          <w:rFonts w:eastAsiaTheme="minorEastAsia"/>
        </w:rPr>
        <w:t>Eld Inlet lies between Budd Inlet to the east and Totten Inlet to the northwest. Eld Inlet is about 6 miles long. The southern end of the inlet is called Mud Bay. Eld Inlet has extremely high level of residential shoreline landowners and armoring. In addition Highway 101 runs along a stretch of the shoreline. The Evergreen State College is located along this inlet. It has very high shellfish commercial and residential usage, including geoduck tubes. It has low dissolved oxygen and high ammonium concentrates (Newton et. al. 2002). PCBs were detected in the sediment (Dutch, 2003). In addition to shellfish harvest, Eld Inlet contains spawning areas for surf smelt, and large populations of sand dollars. Western grebes also use habitat in Eld inlet.</w:t>
      </w:r>
    </w:p>
    <w:p w14:paraId="0160AFF8" w14:textId="77777777" w:rsidR="00B90508" w:rsidRPr="00B90508" w:rsidRDefault="00B90508" w:rsidP="00B90508">
      <w:pPr>
        <w:spacing w:line="276" w:lineRule="auto"/>
        <w:rPr>
          <w:rFonts w:eastAsiaTheme="minorEastAsia"/>
        </w:rPr>
      </w:pPr>
      <w:bookmarkStart w:id="335" w:name="_hb2znxc9j5qe" w:colFirst="0" w:colLast="0"/>
      <w:bookmarkEnd w:id="335"/>
      <w:r w:rsidRPr="00B90508">
        <w:rPr>
          <w:rFonts w:eastAsiaTheme="minorEastAsia"/>
        </w:rPr>
        <w:t>[insert map]</w:t>
      </w:r>
    </w:p>
    <w:p w14:paraId="754B6F4C"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36" w:name="_4b1cwht9vlwj" w:colFirst="0" w:colLast="0"/>
      <w:bookmarkStart w:id="337" w:name="_481zoplafeyx" w:colFirst="0" w:colLast="0"/>
      <w:bookmarkStart w:id="338" w:name="_Toc463000042"/>
      <w:bookmarkEnd w:id="336"/>
      <w:bookmarkEnd w:id="337"/>
      <w:r w:rsidRPr="00B90508">
        <w:rPr>
          <w:rFonts w:asciiTheme="majorHAnsi" w:eastAsiaTheme="majorEastAsia" w:hAnsiTheme="majorHAnsi" w:cstheme="majorBidi"/>
          <w:color w:val="2B5A8E"/>
          <w:sz w:val="32"/>
          <w:szCs w:val="32"/>
          <w:u w:color="33CC33"/>
        </w:rPr>
        <w:t>Hammersley Inlet and Oakland Bay</w:t>
      </w:r>
      <w:bookmarkEnd w:id="338"/>
    </w:p>
    <w:p w14:paraId="69F99BE8" w14:textId="77777777" w:rsidR="00B90508" w:rsidRPr="00B90508" w:rsidRDefault="00B90508" w:rsidP="00B90508">
      <w:pPr>
        <w:spacing w:line="276" w:lineRule="auto"/>
        <w:rPr>
          <w:rFonts w:eastAsiaTheme="minorEastAsia"/>
        </w:rPr>
      </w:pPr>
      <w:bookmarkStart w:id="339" w:name="_bfct0a222nm" w:colFirst="0" w:colLast="0"/>
      <w:bookmarkEnd w:id="339"/>
      <w:r w:rsidRPr="00B90508">
        <w:rPr>
          <w:rFonts w:eastAsiaTheme="minorEastAsia"/>
        </w:rPr>
        <w:t>Hammersley Inlet connects Oakland Bay to greater Puget Sound. It is approximately 8 nautical miles long. As tides change in the South Puget Sound, Hammersley Inlet is the only artery through which all water must flow between the Oakland Bay and the greater Puget Sound. As tides change, they force the water through narrow, winding, shallow, Hammersley, producing erratic currents up to 5 knots (9 km/h). Hammersley Inlet is also known for its abundant shellfish production of clams and oysters. Hammersley Inlet &amp; Oakland bay are moderately urbanized and include the city of Shelton as well as multiple commercial uses. Hwy 3 runs along the shoreline. This inlet has been identified as CWA 1998 Section 303(d) listed for fecal coliform. Fecal coliform tested extremely high twice (1998, 2000) but is currently (2013) at acceptable levels. The inlet also had high ammonium levels. Additional 303 (d) waters of concern listings 2002/2004 have been proposed for dissolved oxygen and pH. PCBs were detected in the sediment (Dutch et. al., 2003). Hammersley Inlet &amp; Oakland Bay contain a wide variety of valuable habitat which includes forage fish spawning habitat, high quality habitat for juvenile salmon, extensive shellfish harvest areas. In addition there are multiple priority conservation sites and several priority estuary feeder bluffs.</w:t>
      </w:r>
    </w:p>
    <w:p w14:paraId="27DEF045" w14:textId="77777777" w:rsidR="00B90508" w:rsidRPr="00B90508" w:rsidRDefault="00B90508" w:rsidP="00B90508">
      <w:pPr>
        <w:spacing w:line="276" w:lineRule="auto"/>
        <w:rPr>
          <w:rFonts w:eastAsiaTheme="minorEastAsia"/>
        </w:rPr>
      </w:pPr>
      <w:bookmarkStart w:id="340" w:name="_dg1egxkgesqk" w:colFirst="0" w:colLast="0"/>
      <w:bookmarkEnd w:id="340"/>
      <w:r w:rsidRPr="00B90508">
        <w:rPr>
          <w:rFonts w:eastAsiaTheme="minorEastAsia"/>
        </w:rPr>
        <w:t>[insert map]</w:t>
      </w:r>
    </w:p>
    <w:p w14:paraId="2EB44A81"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41" w:name="_hm4vaiveu3ff" w:colFirst="0" w:colLast="0"/>
      <w:bookmarkStart w:id="342" w:name="_6kiouavka2ez" w:colFirst="0" w:colLast="0"/>
      <w:bookmarkStart w:id="343" w:name="_Toc463000043"/>
      <w:bookmarkEnd w:id="341"/>
      <w:bookmarkEnd w:id="342"/>
      <w:r w:rsidRPr="00B90508">
        <w:rPr>
          <w:rFonts w:asciiTheme="majorHAnsi" w:eastAsiaTheme="majorEastAsia" w:hAnsiTheme="majorHAnsi" w:cstheme="majorBidi"/>
          <w:color w:val="2B5A8E"/>
          <w:sz w:val="32"/>
          <w:szCs w:val="32"/>
          <w:u w:color="33CC33"/>
        </w:rPr>
        <w:t>Harstene Island Group</w:t>
      </w:r>
      <w:bookmarkEnd w:id="343"/>
    </w:p>
    <w:p w14:paraId="559AFC9F" w14:textId="77777777" w:rsidR="00B90508" w:rsidRPr="00B90508" w:rsidRDefault="00B90508" w:rsidP="00B90508">
      <w:pPr>
        <w:spacing w:line="276" w:lineRule="auto"/>
        <w:rPr>
          <w:rFonts w:eastAsiaTheme="minorEastAsia"/>
        </w:rPr>
      </w:pPr>
      <w:bookmarkStart w:id="344" w:name="_f9noe2ayoqa" w:colFirst="0" w:colLast="0"/>
      <w:bookmarkStart w:id="345" w:name="_z302v1bgr80l" w:colFirst="0" w:colLast="0"/>
      <w:bookmarkEnd w:id="344"/>
      <w:bookmarkEnd w:id="345"/>
      <w:r w:rsidRPr="00B90508">
        <w:rPr>
          <w:rFonts w:eastAsiaTheme="minorEastAsia"/>
        </w:rPr>
        <w:t>Harstene Island Group is located</w:t>
      </w:r>
      <w:r w:rsidRPr="00B90508">
        <w:rPr>
          <w:rFonts w:eastAsiaTheme="minorEastAsia"/>
          <w:b/>
        </w:rPr>
        <w:t xml:space="preserve"> </w:t>
      </w:r>
      <w:r w:rsidRPr="00B90508">
        <w:rPr>
          <w:rFonts w:eastAsiaTheme="minorEastAsia"/>
        </w:rPr>
        <w:t xml:space="preserve">in Mason County and includes Harstene Island, the Squaxin Island Indian Reservation, and Hope Island State Park. Harstene Island is located west of Case Inlet and 10 miles north of Olympia. It has a land area of 19 square miles and a population of around 1,000. Pickering Passage, to the northwest, separates the island from mainland, while Case Inlet, to the east, separates it from Key Peninsula. Squaxin Island, approximately 2.2 square miles and unpopulated, lies to the southwest, separated by Peale Passage. To the south, Harstene Island is separated from the mainland by Dana Passage. Harstene Island is home to Jarrell Cove State Park and Harstine Island State Park. This inlet has portions of high residential density, multiple marinas, including Boston Harbor and Zittel’s marinas as well as three state parks – Big Slough, Tolmie and Hope Island. In addition, Highway 101 runs along a length of the shoreline. It was CWA 1998 Section 303(d) listed for dissolved oxygen, fecal </w:t>
      </w:r>
      <w:r w:rsidRPr="00B90508">
        <w:rPr>
          <w:rFonts w:eastAsiaTheme="minorEastAsia"/>
        </w:rPr>
        <w:lastRenderedPageBreak/>
        <w:t>coliform and pH. Several additional listings were proposed for the 2002/2004 303(d) list include phthalates in the sediment and total PCBs (tissue). The waters of concern list include three additional proposed toxics sediment parameters. High levels of ammonium and nitrite were also identified. Habitat in this inlet includes: multiple forage fish spawning sites, active feeder bluffs, high quality habitat (both used currently and with potential for conservation), shellfish harvest areas and historic estuary area.</w:t>
      </w:r>
      <w:hyperlink r:id="rId148" w:anchor="cite_note-parks.wa.gov-2"/>
    </w:p>
    <w:p w14:paraId="35DA3DB9" w14:textId="77777777" w:rsidR="00B90508" w:rsidRPr="00B90508" w:rsidRDefault="00B90508" w:rsidP="00B90508">
      <w:pPr>
        <w:spacing w:line="276" w:lineRule="auto"/>
        <w:rPr>
          <w:rFonts w:eastAsiaTheme="minorEastAsia"/>
        </w:rPr>
      </w:pPr>
      <w:bookmarkStart w:id="346" w:name="_om8qozv1j9yk" w:colFirst="0" w:colLast="0"/>
      <w:bookmarkEnd w:id="346"/>
      <w:r w:rsidRPr="00B90508">
        <w:rPr>
          <w:rFonts w:eastAsiaTheme="minorEastAsia"/>
        </w:rPr>
        <w:t>[insert map]</w:t>
      </w:r>
    </w:p>
    <w:p w14:paraId="107EB382"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47" w:name="_34ce28k8sj82" w:colFirst="0" w:colLast="0"/>
      <w:bookmarkStart w:id="348" w:name="_quvv23r3xkh" w:colFirst="0" w:colLast="0"/>
      <w:bookmarkStart w:id="349" w:name="_Toc463000044"/>
      <w:bookmarkEnd w:id="347"/>
      <w:bookmarkEnd w:id="348"/>
      <w:r w:rsidRPr="00B90508">
        <w:rPr>
          <w:rFonts w:asciiTheme="majorHAnsi" w:eastAsiaTheme="majorEastAsia" w:hAnsiTheme="majorHAnsi" w:cstheme="majorBidi"/>
          <w:color w:val="2B5A8E"/>
          <w:sz w:val="32"/>
          <w:szCs w:val="32"/>
          <w:u w:color="33CC33"/>
        </w:rPr>
        <w:t>Henderson Inlet</w:t>
      </w:r>
      <w:bookmarkEnd w:id="349"/>
    </w:p>
    <w:p w14:paraId="67B938C6" w14:textId="77777777" w:rsidR="00B90508" w:rsidRPr="00B90508" w:rsidRDefault="00B90508" w:rsidP="00B90508">
      <w:pPr>
        <w:spacing w:line="276" w:lineRule="auto"/>
        <w:rPr>
          <w:rFonts w:eastAsiaTheme="minorEastAsia"/>
        </w:rPr>
      </w:pPr>
      <w:bookmarkStart w:id="350" w:name="_ljy6xrhoukv2" w:colFirst="0" w:colLast="0"/>
      <w:bookmarkStart w:id="351" w:name="_qoo4i5thk9vj" w:colFirst="0" w:colLast="0"/>
      <w:bookmarkEnd w:id="350"/>
      <w:bookmarkEnd w:id="351"/>
      <w:r w:rsidRPr="00B90508">
        <w:rPr>
          <w:rFonts w:eastAsiaTheme="minorEastAsia"/>
        </w:rPr>
        <w:t>Henderson Inlet is a small, southern inlet situated between Budd Inlet to the west and Nisqually Reach to the east. Since 1987 a large section of the western shore of Henderson Inlet has been managed by the Woodard Bay Natural Resources Conservation Area, including the former property of the Weyerhaeuser Timber Company and, to its north, part of the historic Esterly Farm and its associated woodland. The conservation area, now covering 600 acres, has expanded in stages by purchasing surrounding properties as they became available, and has developed into an important sanctuary for birds, bats, seals and otters. Henderson inlet was CWA 1998 Section 303(d) listed for dissolved oxygen and fecal coliform. It was proposed for the 2002/2004 waters of concern list for pH and four toxic sediment contaminants. The inlet provides multiple forage fish (smelt) spawning sites as well as areas for shellfish harvest and feeder bluffs. There is a historic log yard in the inlet. In addition, Woodard Bay offers seal pupping habitat.</w:t>
      </w:r>
    </w:p>
    <w:p w14:paraId="47C3E6C3" w14:textId="77777777" w:rsidR="00B90508" w:rsidRPr="00B90508" w:rsidRDefault="00B90508" w:rsidP="00B90508">
      <w:pPr>
        <w:spacing w:line="276" w:lineRule="auto"/>
        <w:rPr>
          <w:rFonts w:eastAsiaTheme="minorEastAsia"/>
        </w:rPr>
      </w:pPr>
      <w:bookmarkStart w:id="352" w:name="_smgx31ik3gsc" w:colFirst="0" w:colLast="0"/>
      <w:bookmarkEnd w:id="352"/>
      <w:r w:rsidRPr="00B90508">
        <w:rPr>
          <w:rFonts w:eastAsiaTheme="minorEastAsia"/>
        </w:rPr>
        <w:t>[insert map]</w:t>
      </w:r>
    </w:p>
    <w:p w14:paraId="417890B8"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53" w:name="_btuoo2giklnv" w:colFirst="0" w:colLast="0"/>
      <w:bookmarkStart w:id="354" w:name="_dfucivqqt6l" w:colFirst="0" w:colLast="0"/>
      <w:bookmarkStart w:id="355" w:name="_Toc463000045"/>
      <w:bookmarkEnd w:id="353"/>
      <w:bookmarkEnd w:id="354"/>
      <w:r w:rsidRPr="00B90508">
        <w:rPr>
          <w:rFonts w:asciiTheme="majorHAnsi" w:eastAsiaTheme="majorEastAsia" w:hAnsiTheme="majorHAnsi" w:cstheme="majorBidi"/>
          <w:color w:val="2B5A8E"/>
          <w:sz w:val="32"/>
          <w:szCs w:val="32"/>
          <w:u w:color="33CC33"/>
        </w:rPr>
        <w:t>Totten &amp; Little Skookum Inlets</w:t>
      </w:r>
      <w:bookmarkEnd w:id="355"/>
    </w:p>
    <w:p w14:paraId="4954C06E" w14:textId="77777777" w:rsidR="00B90508" w:rsidRPr="00B90508" w:rsidRDefault="00B90508" w:rsidP="00B90508">
      <w:pPr>
        <w:spacing w:line="276" w:lineRule="auto"/>
        <w:rPr>
          <w:rFonts w:eastAsiaTheme="minorEastAsia"/>
        </w:rPr>
      </w:pPr>
      <w:bookmarkStart w:id="356" w:name="_79z029abjecr" w:colFirst="0" w:colLast="0"/>
      <w:bookmarkStart w:id="357" w:name="_nnb1lbluxmar" w:colFirst="0" w:colLast="0"/>
      <w:bookmarkEnd w:id="356"/>
      <w:bookmarkEnd w:id="357"/>
      <w:r w:rsidRPr="00B90508">
        <w:rPr>
          <w:rFonts w:eastAsiaTheme="minorEastAsia"/>
        </w:rPr>
        <w:t xml:space="preserve">Totten Inlet extends 9 miles southwest from the western end of Squaxin Passage, and much of the county line between Mason and Thurston counties runs down the center of it. Totten Inlet splits into two smaller inlets, Oyster Bay and Little Skookum Inlet. Oyster Bay, located south of Burns Point, is an extensive mudflat. Oysters are grown in this area, and there are log booms. Totten Inlet is one of Washington's most productive areas for growing oysters, which grow extremely fast in the algae-rich water. Taylor Shellfish, the United States' largest producer of farmed shellfish, began in Totten Inlet and is still headquartered today near its waters. This inlet measured high in Ammonium and has high sensitivity to added nutrients (based on Newton et al. 2002). </w:t>
      </w:r>
      <w:r w:rsidRPr="00B90508">
        <w:rPr>
          <w:rFonts w:eastAsiaTheme="minorEastAsia"/>
          <w:highlight w:val="yellow"/>
        </w:rPr>
        <w:t xml:space="preserve">The inlet </w:t>
      </w:r>
      <w:r w:rsidRPr="00B90508">
        <w:rPr>
          <w:rFonts w:eastAsiaTheme="minorEastAsia"/>
        </w:rPr>
        <w:t>contains multiple forage fish spawning habitat as well as active feeder bluffs and significant shellfish aquaculture. There are extensive WDNR land holdings on the shoreline.</w:t>
      </w:r>
    </w:p>
    <w:p w14:paraId="536710C7" w14:textId="77777777" w:rsidR="00B90508" w:rsidRPr="00B90508" w:rsidRDefault="00B90508" w:rsidP="00B90508">
      <w:pPr>
        <w:spacing w:line="276" w:lineRule="auto"/>
        <w:rPr>
          <w:rFonts w:eastAsiaTheme="minorEastAsia"/>
        </w:rPr>
      </w:pPr>
      <w:bookmarkStart w:id="358" w:name="_7tywgjf8v69j" w:colFirst="0" w:colLast="0"/>
      <w:bookmarkEnd w:id="358"/>
      <w:r w:rsidRPr="00B90508">
        <w:rPr>
          <w:rFonts w:eastAsiaTheme="minorEastAsia"/>
        </w:rPr>
        <w:t>[insert map]</w:t>
      </w:r>
    </w:p>
    <w:p w14:paraId="33FB93CF" w14:textId="77777777" w:rsidR="00B90508" w:rsidRPr="00B90508" w:rsidRDefault="00B90508" w:rsidP="00B90508">
      <w:pPr>
        <w:keepNext/>
        <w:keepLines/>
        <w:spacing w:before="200" w:after="120" w:line="240" w:lineRule="auto"/>
        <w:outlineLvl w:val="1"/>
        <w:rPr>
          <w:rFonts w:asciiTheme="majorHAnsi" w:eastAsiaTheme="majorEastAsia" w:hAnsiTheme="majorHAnsi" w:cstheme="majorBidi"/>
          <w:color w:val="2B5A8E"/>
          <w:sz w:val="32"/>
          <w:szCs w:val="32"/>
          <w:u w:color="33CC33"/>
        </w:rPr>
      </w:pPr>
      <w:bookmarkStart w:id="359" w:name="_evly8t795pud" w:colFirst="0" w:colLast="0"/>
      <w:bookmarkStart w:id="360" w:name="_sss7022oojfb" w:colFirst="0" w:colLast="0"/>
      <w:bookmarkStart w:id="361" w:name="_Toc463000046"/>
      <w:bookmarkEnd w:id="359"/>
      <w:bookmarkEnd w:id="360"/>
      <w:r w:rsidRPr="00B90508">
        <w:rPr>
          <w:rFonts w:asciiTheme="majorHAnsi" w:eastAsiaTheme="majorEastAsia" w:hAnsiTheme="majorHAnsi" w:cstheme="majorBidi"/>
          <w:color w:val="2B5A8E"/>
          <w:sz w:val="32"/>
          <w:szCs w:val="32"/>
          <w:u w:color="33CC33"/>
        </w:rPr>
        <w:t>McNeil Island Group</w:t>
      </w:r>
      <w:bookmarkEnd w:id="361"/>
    </w:p>
    <w:p w14:paraId="55624D28" w14:textId="77777777" w:rsidR="00B90508" w:rsidRPr="00B90508" w:rsidRDefault="00B90508" w:rsidP="00B90508">
      <w:pPr>
        <w:spacing w:line="276" w:lineRule="auto"/>
        <w:rPr>
          <w:rFonts w:eastAsiaTheme="minorEastAsia"/>
        </w:rPr>
      </w:pPr>
      <w:bookmarkStart w:id="362" w:name="_20bpcqvpexhi" w:colFirst="0" w:colLast="0"/>
      <w:bookmarkStart w:id="363" w:name="_5598mextf11x" w:colFirst="0" w:colLast="0"/>
      <w:bookmarkEnd w:id="362"/>
      <w:bookmarkEnd w:id="363"/>
      <w:r w:rsidRPr="00B90508">
        <w:rPr>
          <w:rFonts w:eastAsiaTheme="minorEastAsia"/>
        </w:rPr>
        <w:t xml:space="preserve">The McNeil Island Group consists of McNeil Island, Fox Island, Anderson Island, and Ketron Island. McNeil Island, the largest, is located just west of Steilacoom and is approximately 7 square miles. The government has owned McNeil Island for most of its history and was home to a United States Federal Penitentiary from 1875 until turned over to Washington State Department of Corrections in 1981. In </w:t>
      </w:r>
      <w:r w:rsidRPr="00B90508">
        <w:rPr>
          <w:rFonts w:eastAsiaTheme="minorEastAsia"/>
        </w:rPr>
        <w:lastRenderedPageBreak/>
        <w:t xml:space="preserve">2011 the DOC closed the penitentiary but the detention center for violent sexual offenders continues to operate. Anderson Island, with approximately 1,000 residents, is the southernmost island in Puget Sound and is south of McNeil. Fox Island is to the north of McNeil Island, across Carr Inlet, and has approximately 3,600 residents. Ketron Island is located just off the shore from Steilacoom. It is the smallest island by size (220 acres) and population (17 residents). </w:t>
      </w:r>
      <w:r w:rsidRPr="00B90508">
        <w:rPr>
          <w:rFonts w:eastAsiaTheme="minorEastAsia"/>
          <w:highlight w:val="yellow"/>
        </w:rPr>
        <w:t>This inlet</w:t>
      </w:r>
      <w:r w:rsidRPr="00B90508">
        <w:rPr>
          <w:rFonts w:eastAsiaTheme="minorEastAsia"/>
        </w:rPr>
        <w:t xml:space="preserve"> was identified for CWA 1998 Section 303(d) listing for fecal coliform. Additional listings proposed for the 2002/2004 303(d) list include three toxic sediment contaminants, and total PCBs in tissue, and for the waters of concern list includes pH, and 15 toxic sediment contaminants. PCBs were detected in a sediment study (Dutch et al. 2003). The inlet contains multiple sites for forage fish spawning, including sand lance and surf smelt. There are critical bird areas and historical estuary, including the Nisqually estuary. Shellfish harvest, eelgrass populations, kelp beds and feeder bluffs are also found in this area. Fort Lewis maintains a large amount of undeveloped lands here and the BNSF railroad runs along a large portion of the shoreline.</w:t>
      </w:r>
    </w:p>
    <w:p w14:paraId="3736D305" w14:textId="77777777" w:rsidR="00B90508" w:rsidRPr="00B90508" w:rsidRDefault="00B90508" w:rsidP="00B90508">
      <w:pPr>
        <w:spacing w:line="276" w:lineRule="auto"/>
        <w:rPr>
          <w:rFonts w:eastAsiaTheme="minorEastAsia"/>
        </w:rPr>
      </w:pPr>
      <w:bookmarkStart w:id="364" w:name="_4rxw8gldte6f" w:colFirst="0" w:colLast="0"/>
      <w:bookmarkStart w:id="365" w:name="_1dtfwnme7pqo" w:colFirst="0" w:colLast="0"/>
      <w:bookmarkEnd w:id="364"/>
      <w:bookmarkEnd w:id="365"/>
      <w:r w:rsidRPr="00B90508">
        <w:rPr>
          <w:rFonts w:eastAsiaTheme="minorEastAsia"/>
        </w:rPr>
        <w:t>[insert map]</w:t>
      </w:r>
    </w:p>
    <w:p w14:paraId="4D4A3857" w14:textId="77777777" w:rsidR="00B90508" w:rsidRPr="00B90508" w:rsidRDefault="00B90508" w:rsidP="00B90508">
      <w:pPr>
        <w:spacing w:line="276" w:lineRule="auto"/>
        <w:rPr>
          <w:rFonts w:eastAsiaTheme="minorEastAsia"/>
        </w:rPr>
      </w:pPr>
    </w:p>
    <w:p w14:paraId="79B99302" w14:textId="77777777" w:rsidR="00B90508" w:rsidRPr="00EB0781" w:rsidRDefault="00B90508" w:rsidP="00B90508">
      <w:pPr>
        <w:spacing w:before="300" w:after="150" w:line="240" w:lineRule="auto"/>
        <w:outlineLvl w:val="1"/>
        <w:rPr>
          <w:rFonts w:ascii="Trebuchet MS" w:eastAsia="Times New Roman" w:hAnsi="Trebuchet MS" w:cs="Times New Roman"/>
          <w:b/>
          <w:bCs/>
          <w:caps/>
          <w:color w:val="003A5D"/>
          <w:sz w:val="24"/>
          <w:szCs w:val="24"/>
        </w:rPr>
      </w:pPr>
    </w:p>
    <w:p w14:paraId="6338FC3D" w14:textId="4AB78917" w:rsidR="001556F9" w:rsidRPr="00C25671" w:rsidRDefault="001556F9" w:rsidP="00C25671"/>
    <w:sectPr w:rsidR="001556F9" w:rsidRPr="00C25671" w:rsidSect="00B90508">
      <w:pgSz w:w="12240" w:h="15840" w:code="1"/>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FFD89F2" w14:textId="77777777" w:rsidR="00DB42B8" w:rsidRDefault="00DB42B8" w:rsidP="001C4A33">
      <w:pPr>
        <w:spacing w:after="0" w:line="240" w:lineRule="auto"/>
      </w:pPr>
      <w:r>
        <w:separator/>
      </w:r>
    </w:p>
  </w:endnote>
  <w:endnote w:type="continuationSeparator" w:id="0">
    <w:p w14:paraId="2CBDD2D2" w14:textId="77777777" w:rsidR="00DB42B8" w:rsidRDefault="00DB42B8" w:rsidP="001C4A3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66361986"/>
      <w:docPartObj>
        <w:docPartGallery w:val="Page Numbers (Bottom of Page)"/>
        <w:docPartUnique/>
      </w:docPartObj>
    </w:sdtPr>
    <w:sdtEndPr>
      <w:rPr>
        <w:noProof/>
        <w:color w:val="1F4E79" w:themeColor="accent1" w:themeShade="80"/>
      </w:rPr>
    </w:sdtEndPr>
    <w:sdtContent>
      <w:p w14:paraId="66A131D8" w14:textId="0FDE4769" w:rsidR="00B90508" w:rsidRPr="001C4A33" w:rsidRDefault="00B90508" w:rsidP="003028B1">
        <w:pPr>
          <w:pStyle w:val="Footer"/>
          <w:pBdr>
            <w:top w:val="single" w:sz="8" w:space="1" w:color="1F4E79" w:themeColor="accent1" w:themeShade="80"/>
          </w:pBdr>
          <w:rPr>
            <w:color w:val="1F4E79" w:themeColor="accent1" w:themeShade="80"/>
          </w:rPr>
        </w:pPr>
        <w:r>
          <w:rPr>
            <w:rFonts w:asciiTheme="majorHAnsi" w:hAnsiTheme="majorHAnsi"/>
            <w:sz w:val="20"/>
            <w:szCs w:val="20"/>
          </w:rPr>
          <w:t xml:space="preserve">South Sound (AHSS) </w:t>
        </w:r>
        <w:r w:rsidRPr="00C25671">
          <w:rPr>
            <w:rFonts w:asciiTheme="majorHAnsi" w:hAnsiTheme="majorHAnsi"/>
            <w:sz w:val="20"/>
            <w:szCs w:val="20"/>
          </w:rPr>
          <w:t>LIO</w:t>
        </w:r>
        <w:r>
          <w:rPr>
            <w:color w:val="1F4E79" w:themeColor="accent1" w:themeShade="80"/>
            <w:sz w:val="18"/>
            <w:szCs w:val="18"/>
          </w:rPr>
          <w:t xml:space="preserve"> Ecosystem Recovery Plan – Draft September 2016</w:t>
        </w:r>
        <w:r>
          <w:tab/>
        </w:r>
        <w:r>
          <w:tab/>
        </w:r>
        <w:r w:rsidRPr="001C4A33">
          <w:rPr>
            <w:color w:val="1F4E79" w:themeColor="accent1" w:themeShade="80"/>
          </w:rPr>
          <w:fldChar w:fldCharType="begin"/>
        </w:r>
        <w:r w:rsidRPr="001C4A33">
          <w:rPr>
            <w:color w:val="1F4E79" w:themeColor="accent1" w:themeShade="80"/>
          </w:rPr>
          <w:instrText xml:space="preserve"> PAGE   \* MERGEFORMAT </w:instrText>
        </w:r>
        <w:r w:rsidRPr="001C4A33">
          <w:rPr>
            <w:color w:val="1F4E79" w:themeColor="accent1" w:themeShade="80"/>
          </w:rPr>
          <w:fldChar w:fldCharType="separate"/>
        </w:r>
        <w:r w:rsidR="00D55723">
          <w:rPr>
            <w:noProof/>
            <w:color w:val="1F4E79" w:themeColor="accent1" w:themeShade="80"/>
          </w:rPr>
          <w:t>1</w:t>
        </w:r>
        <w:r w:rsidRPr="001C4A33">
          <w:rPr>
            <w:noProof/>
            <w:color w:val="1F4E79" w:themeColor="accent1" w:themeShade="80"/>
          </w:rPr>
          <w:fldChar w:fldCharType="end"/>
        </w:r>
      </w:p>
    </w:sdtContent>
  </w:sdt>
  <w:p w14:paraId="51021E42" w14:textId="77777777" w:rsidR="00B90508" w:rsidRDefault="00B90508">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710233" w14:textId="34E32FBD" w:rsidR="00B90508" w:rsidRPr="00B74DAD" w:rsidRDefault="00B90508">
    <w:pPr>
      <w:pStyle w:val="Footer"/>
      <w:jc w:val="center"/>
      <w:rPr>
        <w:color w:val="1F4E79" w:themeColor="accent1" w:themeShade="80"/>
        <w:sz w:val="18"/>
        <w:szCs w:val="18"/>
      </w:rPr>
    </w:pPr>
    <w:r w:rsidRPr="001B3416">
      <w:rPr>
        <w:sz w:val="18"/>
        <w:szCs w:val="18"/>
      </w:rPr>
      <w:t xml:space="preserve">South Central LIO </w:t>
    </w:r>
    <w:r w:rsidRPr="00B74DAD">
      <w:rPr>
        <w:color w:val="1F4E79" w:themeColor="accent1" w:themeShade="80"/>
        <w:sz w:val="18"/>
        <w:szCs w:val="18"/>
      </w:rPr>
      <w:t>Ecosystem Recovery Plan – Appendices</w:t>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r w:rsidRPr="00B74DAD">
      <w:rPr>
        <w:color w:val="1F4E79" w:themeColor="accent1" w:themeShade="80"/>
        <w:sz w:val="18"/>
        <w:szCs w:val="18"/>
      </w:rPr>
      <w:tab/>
    </w:r>
    <w:sdt>
      <w:sdtPr>
        <w:rPr>
          <w:color w:val="1F4E79" w:themeColor="accent1" w:themeShade="80"/>
          <w:sz w:val="18"/>
          <w:szCs w:val="18"/>
        </w:rPr>
        <w:id w:val="-1278482524"/>
        <w:docPartObj>
          <w:docPartGallery w:val="Page Numbers (Bottom of Page)"/>
          <w:docPartUnique/>
        </w:docPartObj>
      </w:sdtPr>
      <w:sdtEndPr>
        <w:rPr>
          <w:noProof/>
        </w:rPr>
      </w:sdtEndPr>
      <w:sdtContent>
        <w:r w:rsidRPr="00B74DAD">
          <w:rPr>
            <w:color w:val="1F4E79" w:themeColor="accent1" w:themeShade="80"/>
            <w:sz w:val="18"/>
            <w:szCs w:val="18"/>
          </w:rPr>
          <w:fldChar w:fldCharType="begin"/>
        </w:r>
        <w:r w:rsidRPr="00B74DAD">
          <w:rPr>
            <w:color w:val="1F4E79" w:themeColor="accent1" w:themeShade="80"/>
            <w:sz w:val="18"/>
            <w:szCs w:val="18"/>
          </w:rPr>
          <w:instrText xml:space="preserve"> PAGE   \* MERGEFORMAT </w:instrText>
        </w:r>
        <w:r w:rsidRPr="00B74DAD">
          <w:rPr>
            <w:color w:val="1F4E79" w:themeColor="accent1" w:themeShade="80"/>
            <w:sz w:val="18"/>
            <w:szCs w:val="18"/>
          </w:rPr>
          <w:fldChar w:fldCharType="separate"/>
        </w:r>
        <w:r w:rsidR="00D55723">
          <w:rPr>
            <w:noProof/>
            <w:color w:val="1F4E79" w:themeColor="accent1" w:themeShade="80"/>
            <w:sz w:val="18"/>
            <w:szCs w:val="18"/>
          </w:rPr>
          <w:t>89</w:t>
        </w:r>
        <w:r w:rsidRPr="00B74DAD">
          <w:rPr>
            <w:noProof/>
            <w:color w:val="1F4E79" w:themeColor="accent1" w:themeShade="80"/>
            <w:sz w:val="18"/>
            <w:szCs w:val="18"/>
          </w:rPr>
          <w:fldChar w:fldCharType="end"/>
        </w:r>
      </w:sdtContent>
    </w:sdt>
  </w:p>
  <w:p w14:paraId="2D6E48A1" w14:textId="77777777" w:rsidR="00B90508" w:rsidRPr="00B74DAD" w:rsidRDefault="00B90508" w:rsidP="00EB078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6103504" w14:textId="77777777" w:rsidR="00B90508" w:rsidRDefault="00B90508">
    <w:pPr>
      <w:pStyle w:val="Footer"/>
      <w:jc w:val="right"/>
    </w:pPr>
  </w:p>
  <w:p w14:paraId="56CE9CB0" w14:textId="77777777" w:rsidR="00B90508" w:rsidRDefault="00B90508">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EBE55C9" w14:textId="62B930D2" w:rsidR="00B90508" w:rsidRPr="00200D05" w:rsidRDefault="00B90508" w:rsidP="00B90508">
    <w:pPr>
      <w:pStyle w:val="Footer"/>
      <w:rPr>
        <w:sz w:val="16"/>
      </w:rPr>
    </w:pPr>
    <w:r w:rsidRPr="00200D05">
      <w:rPr>
        <w:sz w:val="16"/>
      </w:rPr>
      <w:t xml:space="preserve">South Sound Strategy – </w:t>
    </w:r>
    <w:r w:rsidRPr="00200D05">
      <w:rPr>
        <w:sz w:val="16"/>
      </w:rPr>
      <w:fldChar w:fldCharType="begin"/>
    </w:r>
    <w:r w:rsidRPr="00200D05">
      <w:rPr>
        <w:sz w:val="16"/>
      </w:rPr>
      <w:instrText xml:space="preserve"> PAGE   \* MERGEFORMAT </w:instrText>
    </w:r>
    <w:r w:rsidRPr="00200D05">
      <w:rPr>
        <w:sz w:val="16"/>
      </w:rPr>
      <w:fldChar w:fldCharType="separate"/>
    </w:r>
    <w:r w:rsidR="00D55723">
      <w:rPr>
        <w:noProof/>
        <w:sz w:val="16"/>
      </w:rPr>
      <w:t>1</w:t>
    </w:r>
    <w:r w:rsidRPr="00200D05">
      <w:rPr>
        <w:noProof/>
        <w:sz w:val="16"/>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8CF54E8" w14:textId="77777777" w:rsidR="00DB42B8" w:rsidRDefault="00DB42B8" w:rsidP="001C4A33">
      <w:pPr>
        <w:spacing w:after="0" w:line="240" w:lineRule="auto"/>
      </w:pPr>
      <w:r>
        <w:separator/>
      </w:r>
    </w:p>
  </w:footnote>
  <w:footnote w:type="continuationSeparator" w:id="0">
    <w:p w14:paraId="046273A7" w14:textId="77777777" w:rsidR="00DB42B8" w:rsidRDefault="00DB42B8" w:rsidP="001C4A33">
      <w:pPr>
        <w:spacing w:after="0" w:line="240" w:lineRule="auto"/>
      </w:pPr>
      <w:r>
        <w:continuationSeparator/>
      </w:r>
    </w:p>
  </w:footnote>
  <w:footnote w:id="1">
    <w:p w14:paraId="58A68841" w14:textId="77777777" w:rsidR="00B90508" w:rsidRPr="00550174" w:rsidRDefault="00B90508" w:rsidP="00B90508">
      <w:pPr>
        <w:spacing w:after="0" w:line="240" w:lineRule="auto"/>
        <w:rPr>
          <w:sz w:val="16"/>
          <w:szCs w:val="16"/>
        </w:rPr>
      </w:pPr>
      <w:r w:rsidRPr="00550174">
        <w:rPr>
          <w:sz w:val="16"/>
          <w:szCs w:val="16"/>
          <w:vertAlign w:val="superscript"/>
        </w:rPr>
        <w:footnoteRef/>
      </w:r>
      <w:r w:rsidRPr="00550174">
        <w:rPr>
          <w:sz w:val="16"/>
          <w:szCs w:val="16"/>
        </w:rPr>
        <w:t xml:space="preserve"> The WGP sets the baseline for historic extent as prior to European settlement, around approximately 1850.</w:t>
      </w:r>
    </w:p>
  </w:footnote>
  <w:footnote w:id="2">
    <w:p w14:paraId="07C5FCC2" w14:textId="77777777" w:rsidR="00B90508" w:rsidRPr="00550174" w:rsidRDefault="00B90508" w:rsidP="00B90508">
      <w:pPr>
        <w:spacing w:after="0" w:line="240" w:lineRule="auto"/>
        <w:rPr>
          <w:sz w:val="16"/>
          <w:szCs w:val="16"/>
        </w:rPr>
      </w:pPr>
      <w:r w:rsidRPr="00550174">
        <w:rPr>
          <w:sz w:val="16"/>
          <w:szCs w:val="16"/>
          <w:vertAlign w:val="superscript"/>
        </w:rPr>
        <w:footnoteRef/>
      </w:r>
      <w:r w:rsidRPr="00550174">
        <w:rPr>
          <w:rFonts w:ascii="Calibri" w:eastAsia="Calibri" w:hAnsi="Calibri" w:cs="Calibri"/>
          <w:sz w:val="16"/>
          <w:szCs w:val="16"/>
        </w:rPr>
        <w:t xml:space="preserve"> PSNERP Technical Document 2012-01: Strategies for Nearshore Protection and Restoration in Puget Sound. </w:t>
      </w:r>
      <w:hyperlink r:id="rId1">
        <w:r w:rsidRPr="00C727F0">
          <w:rPr>
            <w:rFonts w:ascii="Calibri" w:eastAsia="Calibri" w:hAnsi="Calibri" w:cs="Calibri"/>
            <w:color w:val="2B5A8E"/>
            <w:sz w:val="16"/>
            <w:szCs w:val="16"/>
            <w:u w:val="single"/>
          </w:rPr>
          <w:t>http://www.pugetsoundnearshore.org/technical_papers/psnerp_strategies_maps.pdf</w:t>
        </w:r>
      </w:hyperlink>
    </w:p>
  </w:footnote>
  <w:footnote w:id="3">
    <w:p w14:paraId="517E5B78" w14:textId="77777777" w:rsidR="00B90508" w:rsidRPr="00C727F0" w:rsidRDefault="00B90508" w:rsidP="00B90508">
      <w:pPr>
        <w:spacing w:after="0" w:line="240" w:lineRule="auto"/>
        <w:rPr>
          <w:color w:val="2B5A8E"/>
          <w:sz w:val="16"/>
          <w:szCs w:val="16"/>
        </w:rPr>
      </w:pPr>
      <w:r w:rsidRPr="00550174">
        <w:rPr>
          <w:sz w:val="16"/>
          <w:szCs w:val="16"/>
          <w:vertAlign w:val="superscript"/>
        </w:rPr>
        <w:footnoteRef/>
      </w:r>
      <w:r w:rsidRPr="00550174">
        <w:rPr>
          <w:rFonts w:ascii="Calibri" w:eastAsia="Calibri" w:hAnsi="Calibri" w:cs="Calibri"/>
          <w:sz w:val="16"/>
          <w:szCs w:val="16"/>
        </w:rPr>
        <w:t xml:space="preserve"> NOAA Fisheries: Nearshore Habitat Fact Sheet, Spring 2012. </w:t>
      </w:r>
      <w:hyperlink r:id="rId2">
        <w:r w:rsidRPr="00C727F0">
          <w:rPr>
            <w:rFonts w:ascii="Calibri" w:eastAsia="Calibri" w:hAnsi="Calibri" w:cs="Calibri"/>
            <w:color w:val="2B5A8E"/>
            <w:sz w:val="16"/>
            <w:szCs w:val="16"/>
            <w:u w:val="single"/>
          </w:rPr>
          <w:t>http://www.westcoast.fisheries.noaa.gov/publications/habitat/fact_sheets/nearshore_habitat.pdf</w:t>
        </w:r>
      </w:hyperlink>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FC5327" w14:textId="78E60ED9" w:rsidR="00B90508" w:rsidRDefault="00B90508" w:rsidP="00A10DE8">
    <w:pPr>
      <w:pStyle w:val="Header"/>
      <w:tabs>
        <w:tab w:val="clear" w:pos="4680"/>
        <w:tab w:val="clear" w:pos="9360"/>
        <w:tab w:val="left" w:pos="5175"/>
      </w:tabs>
    </w:pPr>
    <w:r>
      <w:tab/>
    </w: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EC87E" w14:textId="77777777" w:rsidR="00B90508" w:rsidRDefault="00B90508">
    <w:pPr>
      <w:pStyle w:val="Header"/>
    </w:pPr>
    <w:r>
      <w:rPr>
        <w:noProof/>
      </w:rPr>
      <w:drawing>
        <wp:inline distT="0" distB="0" distL="0" distR="0" wp14:anchorId="2FD7EAFD" wp14:editId="095EB079">
          <wp:extent cx="8272732" cy="942975"/>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op-head.png"/>
                  <pic:cNvPicPr/>
                </pic:nvPicPr>
                <pic:blipFill>
                  <a:blip r:embed="rId1">
                    <a:extLst>
                      <a:ext uri="{28A0092B-C50C-407E-A947-70E740481C1C}">
                        <a14:useLocalDpi xmlns:a14="http://schemas.microsoft.com/office/drawing/2010/main" val="0"/>
                      </a:ext>
                    </a:extLst>
                  </a:blip>
                  <a:stretch>
                    <a:fillRect/>
                  </a:stretch>
                </pic:blipFill>
                <pic:spPr>
                  <a:xfrm>
                    <a:off x="0" y="0"/>
                    <a:ext cx="8278684" cy="943653"/>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27E9191" w14:textId="77777777" w:rsidR="00B90508" w:rsidRPr="00912574" w:rsidRDefault="00B90508" w:rsidP="00B90508">
    <w:pPr>
      <w:pStyle w:val="Header"/>
      <w:jc w:val="center"/>
      <w:rPr>
        <w:b/>
        <w:sz w:val="28"/>
        <w:szCs w:val="28"/>
      </w:rPr>
    </w:pPr>
    <w:r>
      <w:rPr>
        <w:b/>
        <w:sz w:val="28"/>
        <w:szCs w:val="28"/>
      </w:rPr>
      <w:t>DRAFT – Not Adopted</w:t>
    </w:r>
  </w:p>
  <w:p w14:paraId="3CA33F1E" w14:textId="77777777" w:rsidR="00B90508" w:rsidRDefault="00B90508">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8C2F33" w14:textId="77777777" w:rsidR="00B90508" w:rsidRPr="00912574" w:rsidRDefault="00D55723" w:rsidP="00B90508">
    <w:pPr>
      <w:pStyle w:val="Header"/>
      <w:jc w:val="center"/>
      <w:rPr>
        <w:b/>
        <w:sz w:val="28"/>
        <w:szCs w:val="28"/>
      </w:rPr>
    </w:pPr>
    <w:sdt>
      <w:sdtPr>
        <w:rPr>
          <w:b/>
          <w:sz w:val="28"/>
          <w:szCs w:val="28"/>
        </w:rPr>
        <w:id w:val="874975803"/>
        <w:docPartObj>
          <w:docPartGallery w:val="Watermarks"/>
          <w:docPartUnique/>
        </w:docPartObj>
      </w:sdtPr>
      <w:sdtEndPr/>
      <w:sdtContent/>
    </w:sdt>
  </w:p>
  <w:p w14:paraId="13FBA932" w14:textId="77777777" w:rsidR="00B90508" w:rsidRDefault="00D55723">
    <w:pPr>
      <w:pStyle w:val="Header"/>
    </w:pPr>
    <w:r>
      <w:rPr>
        <w:b/>
        <w:noProof/>
        <w:sz w:val="28"/>
        <w:szCs w:val="28"/>
      </w:rPr>
      <w:pict w14:anchorId="7787DEE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70517" o:spid="_x0000_s2050" type="#_x0000_t136" style="position:absolute;margin-left:6.65pt;margin-top:166.85pt;width:446.4pt;height:223.2pt;z-index:-251658752;mso-position-horizontal-relative:margin;mso-position-vertical-relative:margin" o:allowincell="f" fillcolor="silver" stroked="f">
          <v:fill opacity=".5"/>
          <v:textpath style="font-family:&quot;Calibri&quot;;font-size:1pt" string="DRAFT"/>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7459EEA" w14:textId="77777777" w:rsidR="00B90508" w:rsidRPr="00925F2C" w:rsidRDefault="00B90508" w:rsidP="00B90508">
    <w:pPr>
      <w:pStyle w:val="Header"/>
      <w:jc w:val="center"/>
      <w:rPr>
        <w:b/>
        <w:sz w:val="28"/>
        <w:szCs w:val="28"/>
      </w:rPr>
    </w:pPr>
    <w:r>
      <w:rPr>
        <w:b/>
        <w:sz w:val="28"/>
        <w:szCs w:val="28"/>
      </w:rPr>
      <w:t>DRAFT – Not Adopted</w:t>
    </w: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71D4B8B" w14:textId="77777777" w:rsidR="00B90508" w:rsidRPr="00925F2C" w:rsidRDefault="00B90508" w:rsidP="00B90508">
    <w:pPr>
      <w:pStyle w:val="Header"/>
      <w:jc w:val="center"/>
      <w:rPr>
        <w:b/>
        <w:sz w:val="28"/>
        <w:szCs w:val="28"/>
      </w:rPr>
    </w:pPr>
    <w:r>
      <w:rPr>
        <w:b/>
        <w:sz w:val="28"/>
        <w:szCs w:val="28"/>
      </w:rPr>
      <w:t>DRAFT – Not Adopted</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6414A9"/>
    <w:multiLevelType w:val="hybridMultilevel"/>
    <w:tmpl w:val="9F5E72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447381C"/>
    <w:multiLevelType w:val="hybridMultilevel"/>
    <w:tmpl w:val="A03C87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6644B64"/>
    <w:multiLevelType w:val="hybridMultilevel"/>
    <w:tmpl w:val="F3301F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8444272"/>
    <w:multiLevelType w:val="hybridMultilevel"/>
    <w:tmpl w:val="A6708168"/>
    <w:lvl w:ilvl="0" w:tplc="D8721718">
      <w:start w:val="1"/>
      <w:numFmt w:val="bullet"/>
      <w:lvlText w:val="•"/>
      <w:lvlJc w:val="left"/>
      <w:pPr>
        <w:tabs>
          <w:tab w:val="num" w:pos="720"/>
        </w:tabs>
        <w:ind w:left="720" w:hanging="360"/>
      </w:pPr>
      <w:rPr>
        <w:rFonts w:ascii="Arial" w:hAnsi="Arial" w:hint="default"/>
      </w:rPr>
    </w:lvl>
    <w:lvl w:ilvl="1" w:tplc="334666D0">
      <w:start w:val="1"/>
      <w:numFmt w:val="bullet"/>
      <w:lvlText w:val="•"/>
      <w:lvlJc w:val="left"/>
      <w:pPr>
        <w:tabs>
          <w:tab w:val="num" w:pos="1440"/>
        </w:tabs>
        <w:ind w:left="1440" w:hanging="360"/>
      </w:pPr>
      <w:rPr>
        <w:rFonts w:ascii="Arial" w:hAnsi="Arial" w:hint="default"/>
      </w:rPr>
    </w:lvl>
    <w:lvl w:ilvl="2" w:tplc="C8D40620" w:tentative="1">
      <w:start w:val="1"/>
      <w:numFmt w:val="bullet"/>
      <w:lvlText w:val="•"/>
      <w:lvlJc w:val="left"/>
      <w:pPr>
        <w:tabs>
          <w:tab w:val="num" w:pos="2160"/>
        </w:tabs>
        <w:ind w:left="2160" w:hanging="360"/>
      </w:pPr>
      <w:rPr>
        <w:rFonts w:ascii="Arial" w:hAnsi="Arial" w:hint="default"/>
      </w:rPr>
    </w:lvl>
    <w:lvl w:ilvl="3" w:tplc="4AA885D4" w:tentative="1">
      <w:start w:val="1"/>
      <w:numFmt w:val="bullet"/>
      <w:lvlText w:val="•"/>
      <w:lvlJc w:val="left"/>
      <w:pPr>
        <w:tabs>
          <w:tab w:val="num" w:pos="2880"/>
        </w:tabs>
        <w:ind w:left="2880" w:hanging="360"/>
      </w:pPr>
      <w:rPr>
        <w:rFonts w:ascii="Arial" w:hAnsi="Arial" w:hint="default"/>
      </w:rPr>
    </w:lvl>
    <w:lvl w:ilvl="4" w:tplc="A476BBF2" w:tentative="1">
      <w:start w:val="1"/>
      <w:numFmt w:val="bullet"/>
      <w:lvlText w:val="•"/>
      <w:lvlJc w:val="left"/>
      <w:pPr>
        <w:tabs>
          <w:tab w:val="num" w:pos="3600"/>
        </w:tabs>
        <w:ind w:left="3600" w:hanging="360"/>
      </w:pPr>
      <w:rPr>
        <w:rFonts w:ascii="Arial" w:hAnsi="Arial" w:hint="default"/>
      </w:rPr>
    </w:lvl>
    <w:lvl w:ilvl="5" w:tplc="D66A3234" w:tentative="1">
      <w:start w:val="1"/>
      <w:numFmt w:val="bullet"/>
      <w:lvlText w:val="•"/>
      <w:lvlJc w:val="left"/>
      <w:pPr>
        <w:tabs>
          <w:tab w:val="num" w:pos="4320"/>
        </w:tabs>
        <w:ind w:left="4320" w:hanging="360"/>
      </w:pPr>
      <w:rPr>
        <w:rFonts w:ascii="Arial" w:hAnsi="Arial" w:hint="default"/>
      </w:rPr>
    </w:lvl>
    <w:lvl w:ilvl="6" w:tplc="7CB0EB64" w:tentative="1">
      <w:start w:val="1"/>
      <w:numFmt w:val="bullet"/>
      <w:lvlText w:val="•"/>
      <w:lvlJc w:val="left"/>
      <w:pPr>
        <w:tabs>
          <w:tab w:val="num" w:pos="5040"/>
        </w:tabs>
        <w:ind w:left="5040" w:hanging="360"/>
      </w:pPr>
      <w:rPr>
        <w:rFonts w:ascii="Arial" w:hAnsi="Arial" w:hint="default"/>
      </w:rPr>
    </w:lvl>
    <w:lvl w:ilvl="7" w:tplc="02F25F4C" w:tentative="1">
      <w:start w:val="1"/>
      <w:numFmt w:val="bullet"/>
      <w:lvlText w:val="•"/>
      <w:lvlJc w:val="left"/>
      <w:pPr>
        <w:tabs>
          <w:tab w:val="num" w:pos="5760"/>
        </w:tabs>
        <w:ind w:left="5760" w:hanging="360"/>
      </w:pPr>
      <w:rPr>
        <w:rFonts w:ascii="Arial" w:hAnsi="Arial" w:hint="default"/>
      </w:rPr>
    </w:lvl>
    <w:lvl w:ilvl="8" w:tplc="63DE97F4"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0D301165"/>
    <w:multiLevelType w:val="hybridMultilevel"/>
    <w:tmpl w:val="7D5254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F056135"/>
    <w:multiLevelType w:val="hybridMultilevel"/>
    <w:tmpl w:val="D9AAC6F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0FA553A0"/>
    <w:multiLevelType w:val="multilevel"/>
    <w:tmpl w:val="C33C510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7" w15:restartNumberingAfterBreak="0">
    <w:nsid w:val="166F5B31"/>
    <w:multiLevelType w:val="hybridMultilevel"/>
    <w:tmpl w:val="7BC0D5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87A3C56"/>
    <w:multiLevelType w:val="hybridMultilevel"/>
    <w:tmpl w:val="EC52B5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EE4F91"/>
    <w:multiLevelType w:val="hybridMultilevel"/>
    <w:tmpl w:val="60540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CE5447"/>
    <w:multiLevelType w:val="hybridMultilevel"/>
    <w:tmpl w:val="D1B23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1E8A5C92"/>
    <w:multiLevelType w:val="hybridMultilevel"/>
    <w:tmpl w:val="93525D0C"/>
    <w:lvl w:ilvl="0" w:tplc="12C2FD36">
      <w:start w:val="1"/>
      <w:numFmt w:val="bullet"/>
      <w:pStyle w:val="Table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186C71"/>
    <w:multiLevelType w:val="multilevel"/>
    <w:tmpl w:val="15327746"/>
    <w:lvl w:ilvl="0">
      <w:start w:val="1"/>
      <w:numFmt w:val="decimal"/>
      <w:lvlText w:val="%1."/>
      <w:lvlJc w:val="left"/>
      <w:pPr>
        <w:ind w:left="360" w:firstLine="360"/>
      </w:pPr>
      <w:rPr>
        <w:u w:val="none"/>
      </w:rPr>
    </w:lvl>
    <w:lvl w:ilvl="1">
      <w:start w:val="1"/>
      <w:numFmt w:val="lowerLetter"/>
      <w:lvlText w:val="%2."/>
      <w:lvlJc w:val="left"/>
      <w:pPr>
        <w:ind w:left="1080" w:firstLine="1080"/>
      </w:pPr>
      <w:rPr>
        <w:u w:val="none"/>
      </w:rPr>
    </w:lvl>
    <w:lvl w:ilvl="2">
      <w:start w:val="1"/>
      <w:numFmt w:val="lowerRoman"/>
      <w:lvlText w:val="%3."/>
      <w:lvlJc w:val="right"/>
      <w:pPr>
        <w:ind w:left="1800" w:firstLine="1800"/>
      </w:pPr>
      <w:rPr>
        <w:u w:val="none"/>
      </w:rPr>
    </w:lvl>
    <w:lvl w:ilvl="3">
      <w:start w:val="1"/>
      <w:numFmt w:val="decimal"/>
      <w:lvlText w:val="%4."/>
      <w:lvlJc w:val="left"/>
      <w:pPr>
        <w:ind w:left="2520" w:firstLine="2520"/>
      </w:pPr>
      <w:rPr>
        <w:u w:val="none"/>
      </w:rPr>
    </w:lvl>
    <w:lvl w:ilvl="4">
      <w:start w:val="1"/>
      <w:numFmt w:val="lowerLetter"/>
      <w:lvlText w:val="%5."/>
      <w:lvlJc w:val="left"/>
      <w:pPr>
        <w:ind w:left="3240" w:firstLine="3240"/>
      </w:pPr>
      <w:rPr>
        <w:u w:val="none"/>
      </w:rPr>
    </w:lvl>
    <w:lvl w:ilvl="5">
      <w:start w:val="1"/>
      <w:numFmt w:val="lowerRoman"/>
      <w:lvlText w:val="%6."/>
      <w:lvlJc w:val="right"/>
      <w:pPr>
        <w:ind w:left="3960" w:firstLine="3960"/>
      </w:pPr>
      <w:rPr>
        <w:u w:val="none"/>
      </w:rPr>
    </w:lvl>
    <w:lvl w:ilvl="6">
      <w:start w:val="1"/>
      <w:numFmt w:val="decimal"/>
      <w:lvlText w:val="%7."/>
      <w:lvlJc w:val="left"/>
      <w:pPr>
        <w:ind w:left="4680" w:firstLine="4680"/>
      </w:pPr>
      <w:rPr>
        <w:u w:val="none"/>
      </w:rPr>
    </w:lvl>
    <w:lvl w:ilvl="7">
      <w:start w:val="1"/>
      <w:numFmt w:val="lowerLetter"/>
      <w:lvlText w:val="%8."/>
      <w:lvlJc w:val="left"/>
      <w:pPr>
        <w:ind w:left="5400" w:firstLine="5400"/>
      </w:pPr>
      <w:rPr>
        <w:u w:val="none"/>
      </w:rPr>
    </w:lvl>
    <w:lvl w:ilvl="8">
      <w:start w:val="1"/>
      <w:numFmt w:val="lowerRoman"/>
      <w:lvlText w:val="%9."/>
      <w:lvlJc w:val="right"/>
      <w:pPr>
        <w:ind w:left="6120" w:firstLine="6120"/>
      </w:pPr>
      <w:rPr>
        <w:u w:val="none"/>
      </w:rPr>
    </w:lvl>
  </w:abstractNum>
  <w:abstractNum w:abstractNumId="13" w15:restartNumberingAfterBreak="0">
    <w:nsid w:val="22804F38"/>
    <w:multiLevelType w:val="hybridMultilevel"/>
    <w:tmpl w:val="D786A94C"/>
    <w:lvl w:ilvl="0" w:tplc="71ECC4E0">
      <w:start w:val="1"/>
      <w:numFmt w:val="bullet"/>
      <w:lvlText w:val="•"/>
      <w:lvlJc w:val="left"/>
      <w:pPr>
        <w:tabs>
          <w:tab w:val="num" w:pos="720"/>
        </w:tabs>
        <w:ind w:left="720" w:hanging="360"/>
      </w:pPr>
      <w:rPr>
        <w:rFonts w:ascii="Arial" w:hAnsi="Arial" w:hint="default"/>
      </w:rPr>
    </w:lvl>
    <w:lvl w:ilvl="1" w:tplc="725213EE">
      <w:start w:val="1"/>
      <w:numFmt w:val="bullet"/>
      <w:lvlText w:val="•"/>
      <w:lvlJc w:val="left"/>
      <w:pPr>
        <w:tabs>
          <w:tab w:val="num" w:pos="1440"/>
        </w:tabs>
        <w:ind w:left="1440" w:hanging="360"/>
      </w:pPr>
      <w:rPr>
        <w:rFonts w:ascii="Arial" w:hAnsi="Arial" w:hint="default"/>
      </w:rPr>
    </w:lvl>
    <w:lvl w:ilvl="2" w:tplc="F3C69562" w:tentative="1">
      <w:start w:val="1"/>
      <w:numFmt w:val="bullet"/>
      <w:lvlText w:val="•"/>
      <w:lvlJc w:val="left"/>
      <w:pPr>
        <w:tabs>
          <w:tab w:val="num" w:pos="2160"/>
        </w:tabs>
        <w:ind w:left="2160" w:hanging="360"/>
      </w:pPr>
      <w:rPr>
        <w:rFonts w:ascii="Arial" w:hAnsi="Arial" w:hint="default"/>
      </w:rPr>
    </w:lvl>
    <w:lvl w:ilvl="3" w:tplc="67F80288" w:tentative="1">
      <w:start w:val="1"/>
      <w:numFmt w:val="bullet"/>
      <w:lvlText w:val="•"/>
      <w:lvlJc w:val="left"/>
      <w:pPr>
        <w:tabs>
          <w:tab w:val="num" w:pos="2880"/>
        </w:tabs>
        <w:ind w:left="2880" w:hanging="360"/>
      </w:pPr>
      <w:rPr>
        <w:rFonts w:ascii="Arial" w:hAnsi="Arial" w:hint="default"/>
      </w:rPr>
    </w:lvl>
    <w:lvl w:ilvl="4" w:tplc="893AE670" w:tentative="1">
      <w:start w:val="1"/>
      <w:numFmt w:val="bullet"/>
      <w:lvlText w:val="•"/>
      <w:lvlJc w:val="left"/>
      <w:pPr>
        <w:tabs>
          <w:tab w:val="num" w:pos="3600"/>
        </w:tabs>
        <w:ind w:left="3600" w:hanging="360"/>
      </w:pPr>
      <w:rPr>
        <w:rFonts w:ascii="Arial" w:hAnsi="Arial" w:hint="default"/>
      </w:rPr>
    </w:lvl>
    <w:lvl w:ilvl="5" w:tplc="ECF2A124" w:tentative="1">
      <w:start w:val="1"/>
      <w:numFmt w:val="bullet"/>
      <w:lvlText w:val="•"/>
      <w:lvlJc w:val="left"/>
      <w:pPr>
        <w:tabs>
          <w:tab w:val="num" w:pos="4320"/>
        </w:tabs>
        <w:ind w:left="4320" w:hanging="360"/>
      </w:pPr>
      <w:rPr>
        <w:rFonts w:ascii="Arial" w:hAnsi="Arial" w:hint="default"/>
      </w:rPr>
    </w:lvl>
    <w:lvl w:ilvl="6" w:tplc="6704604A" w:tentative="1">
      <w:start w:val="1"/>
      <w:numFmt w:val="bullet"/>
      <w:lvlText w:val="•"/>
      <w:lvlJc w:val="left"/>
      <w:pPr>
        <w:tabs>
          <w:tab w:val="num" w:pos="5040"/>
        </w:tabs>
        <w:ind w:left="5040" w:hanging="360"/>
      </w:pPr>
      <w:rPr>
        <w:rFonts w:ascii="Arial" w:hAnsi="Arial" w:hint="default"/>
      </w:rPr>
    </w:lvl>
    <w:lvl w:ilvl="7" w:tplc="662660E2" w:tentative="1">
      <w:start w:val="1"/>
      <w:numFmt w:val="bullet"/>
      <w:lvlText w:val="•"/>
      <w:lvlJc w:val="left"/>
      <w:pPr>
        <w:tabs>
          <w:tab w:val="num" w:pos="5760"/>
        </w:tabs>
        <w:ind w:left="5760" w:hanging="360"/>
      </w:pPr>
      <w:rPr>
        <w:rFonts w:ascii="Arial" w:hAnsi="Arial" w:hint="default"/>
      </w:rPr>
    </w:lvl>
    <w:lvl w:ilvl="8" w:tplc="354E4B74"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25155E6D"/>
    <w:multiLevelType w:val="hybridMultilevel"/>
    <w:tmpl w:val="78A01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277B4E25"/>
    <w:multiLevelType w:val="hybridMultilevel"/>
    <w:tmpl w:val="305810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9F67FF8"/>
    <w:multiLevelType w:val="hybridMultilevel"/>
    <w:tmpl w:val="49B8A09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29FF5847"/>
    <w:multiLevelType w:val="hybridMultilevel"/>
    <w:tmpl w:val="AAFE60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2CCB34CD"/>
    <w:multiLevelType w:val="multilevel"/>
    <w:tmpl w:val="AFE8F214"/>
    <w:lvl w:ilvl="0">
      <w:start w:val="1"/>
      <w:numFmt w:val="bullet"/>
      <w:lvlText w:val="●"/>
      <w:lvlJc w:val="left"/>
      <w:pPr>
        <w:ind w:left="0" w:firstLine="360"/>
      </w:pPr>
      <w:rPr>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19" w15:restartNumberingAfterBreak="0">
    <w:nsid w:val="2D4748DC"/>
    <w:multiLevelType w:val="hybridMultilevel"/>
    <w:tmpl w:val="E2800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2E89095D"/>
    <w:multiLevelType w:val="multilevel"/>
    <w:tmpl w:val="CC82564A"/>
    <w:lvl w:ilvl="0">
      <w:start w:val="1"/>
      <w:numFmt w:val="bullet"/>
      <w:lvlText w:val="●"/>
      <w:lvlJc w:val="left"/>
      <w:pPr>
        <w:ind w:left="351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21" w15:restartNumberingAfterBreak="0">
    <w:nsid w:val="301A7FCE"/>
    <w:multiLevelType w:val="multilevel"/>
    <w:tmpl w:val="882436E8"/>
    <w:lvl w:ilvl="0">
      <w:start w:val="1"/>
      <w:numFmt w:val="bullet"/>
      <w:lvlText w:val="●"/>
      <w:lvlJc w:val="left"/>
      <w:pPr>
        <w:ind w:left="720" w:firstLine="360"/>
      </w:pPr>
      <w:rPr>
        <w:rFonts w:ascii="Arial" w:eastAsia="Arial" w:hAnsi="Arial" w:cs="Arial"/>
      </w:rPr>
    </w:lvl>
    <w:lvl w:ilvl="1">
      <w:start w:val="1"/>
      <w:numFmt w:val="bullet"/>
      <w:lvlText w:val="o"/>
      <w:lvlJc w:val="left"/>
      <w:pPr>
        <w:ind w:left="1440" w:firstLine="1080"/>
      </w:pPr>
      <w:rPr>
        <w:rFonts w:ascii="Arial" w:eastAsia="Arial" w:hAnsi="Arial" w:cs="Arial"/>
      </w:rPr>
    </w:lvl>
    <w:lvl w:ilvl="2">
      <w:start w:val="1"/>
      <w:numFmt w:val="bullet"/>
      <w:lvlText w:val="▪"/>
      <w:lvlJc w:val="left"/>
      <w:pPr>
        <w:ind w:left="2160" w:firstLine="1800"/>
      </w:pPr>
      <w:rPr>
        <w:rFonts w:ascii="Arial" w:eastAsia="Arial" w:hAnsi="Arial" w:cs="Arial"/>
      </w:rPr>
    </w:lvl>
    <w:lvl w:ilvl="3">
      <w:start w:val="1"/>
      <w:numFmt w:val="bullet"/>
      <w:lvlText w:val="●"/>
      <w:lvlJc w:val="left"/>
      <w:pPr>
        <w:ind w:left="2880" w:firstLine="2520"/>
      </w:pPr>
      <w:rPr>
        <w:rFonts w:ascii="Arial" w:eastAsia="Arial" w:hAnsi="Arial" w:cs="Arial"/>
      </w:rPr>
    </w:lvl>
    <w:lvl w:ilvl="4">
      <w:start w:val="1"/>
      <w:numFmt w:val="bullet"/>
      <w:lvlText w:val="o"/>
      <w:lvlJc w:val="left"/>
      <w:pPr>
        <w:ind w:left="3600" w:firstLine="3240"/>
      </w:pPr>
      <w:rPr>
        <w:rFonts w:ascii="Arial" w:eastAsia="Arial" w:hAnsi="Arial" w:cs="Arial"/>
      </w:rPr>
    </w:lvl>
    <w:lvl w:ilvl="5">
      <w:start w:val="1"/>
      <w:numFmt w:val="bullet"/>
      <w:lvlText w:val="▪"/>
      <w:lvlJc w:val="left"/>
      <w:pPr>
        <w:ind w:left="4320" w:firstLine="3960"/>
      </w:pPr>
      <w:rPr>
        <w:rFonts w:ascii="Arial" w:eastAsia="Arial" w:hAnsi="Arial" w:cs="Arial"/>
      </w:rPr>
    </w:lvl>
    <w:lvl w:ilvl="6">
      <w:start w:val="1"/>
      <w:numFmt w:val="bullet"/>
      <w:lvlText w:val="●"/>
      <w:lvlJc w:val="left"/>
      <w:pPr>
        <w:ind w:left="5040" w:firstLine="4680"/>
      </w:pPr>
      <w:rPr>
        <w:rFonts w:ascii="Arial" w:eastAsia="Arial" w:hAnsi="Arial" w:cs="Arial"/>
      </w:rPr>
    </w:lvl>
    <w:lvl w:ilvl="7">
      <w:start w:val="1"/>
      <w:numFmt w:val="bullet"/>
      <w:lvlText w:val="o"/>
      <w:lvlJc w:val="left"/>
      <w:pPr>
        <w:ind w:left="5760" w:firstLine="5400"/>
      </w:pPr>
      <w:rPr>
        <w:rFonts w:ascii="Arial" w:eastAsia="Arial" w:hAnsi="Arial" w:cs="Arial"/>
      </w:rPr>
    </w:lvl>
    <w:lvl w:ilvl="8">
      <w:start w:val="1"/>
      <w:numFmt w:val="bullet"/>
      <w:lvlText w:val="▪"/>
      <w:lvlJc w:val="left"/>
      <w:pPr>
        <w:ind w:left="6480" w:firstLine="6120"/>
      </w:pPr>
      <w:rPr>
        <w:rFonts w:ascii="Arial" w:eastAsia="Arial" w:hAnsi="Arial" w:cs="Arial"/>
      </w:rPr>
    </w:lvl>
  </w:abstractNum>
  <w:abstractNum w:abstractNumId="22" w15:restartNumberingAfterBreak="0">
    <w:nsid w:val="31026515"/>
    <w:multiLevelType w:val="hybridMultilevel"/>
    <w:tmpl w:val="E5FA4BF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15:restartNumberingAfterBreak="0">
    <w:nsid w:val="363E2B99"/>
    <w:multiLevelType w:val="hybridMultilevel"/>
    <w:tmpl w:val="ECB452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69D5AF8"/>
    <w:multiLevelType w:val="hybridMultilevel"/>
    <w:tmpl w:val="37D44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3E3E1AA1"/>
    <w:multiLevelType w:val="hybridMultilevel"/>
    <w:tmpl w:val="733C294C"/>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3F6B2FF1"/>
    <w:multiLevelType w:val="hybridMultilevel"/>
    <w:tmpl w:val="EAF2D6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06239FE"/>
    <w:multiLevelType w:val="hybridMultilevel"/>
    <w:tmpl w:val="2CD8A9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46393F38"/>
    <w:multiLevelType w:val="hybridMultilevel"/>
    <w:tmpl w:val="19567D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7B23FB1"/>
    <w:multiLevelType w:val="hybridMultilevel"/>
    <w:tmpl w:val="314817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7C92293"/>
    <w:multiLevelType w:val="hybridMultilevel"/>
    <w:tmpl w:val="475881F4"/>
    <w:lvl w:ilvl="0" w:tplc="09BE2AE2">
      <w:start w:val="1"/>
      <w:numFmt w:val="upperRoman"/>
      <w:lvlText w:val="%1."/>
      <w:lvlJc w:val="left"/>
      <w:pPr>
        <w:ind w:left="720" w:hanging="72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1" w15:restartNumberingAfterBreak="0">
    <w:nsid w:val="4A43212F"/>
    <w:multiLevelType w:val="hybridMultilevel"/>
    <w:tmpl w:val="9C6C620E"/>
    <w:lvl w:ilvl="0" w:tplc="4E581A54">
      <w:start w:val="1"/>
      <w:numFmt w:val="bullet"/>
      <w:lvlText w:val="•"/>
      <w:lvlJc w:val="left"/>
      <w:pPr>
        <w:tabs>
          <w:tab w:val="num" w:pos="720"/>
        </w:tabs>
        <w:ind w:left="720" w:hanging="360"/>
      </w:pPr>
      <w:rPr>
        <w:rFonts w:ascii="Arial" w:hAnsi="Arial" w:hint="default"/>
      </w:rPr>
    </w:lvl>
    <w:lvl w:ilvl="1" w:tplc="5606869A">
      <w:start w:val="1"/>
      <w:numFmt w:val="bullet"/>
      <w:lvlText w:val="•"/>
      <w:lvlJc w:val="left"/>
      <w:pPr>
        <w:tabs>
          <w:tab w:val="num" w:pos="1440"/>
        </w:tabs>
        <w:ind w:left="1440" w:hanging="360"/>
      </w:pPr>
      <w:rPr>
        <w:rFonts w:ascii="Arial" w:hAnsi="Arial" w:hint="default"/>
      </w:rPr>
    </w:lvl>
    <w:lvl w:ilvl="2" w:tplc="5A88A5A2" w:tentative="1">
      <w:start w:val="1"/>
      <w:numFmt w:val="bullet"/>
      <w:lvlText w:val="•"/>
      <w:lvlJc w:val="left"/>
      <w:pPr>
        <w:tabs>
          <w:tab w:val="num" w:pos="2160"/>
        </w:tabs>
        <w:ind w:left="2160" w:hanging="360"/>
      </w:pPr>
      <w:rPr>
        <w:rFonts w:ascii="Arial" w:hAnsi="Arial" w:hint="default"/>
      </w:rPr>
    </w:lvl>
    <w:lvl w:ilvl="3" w:tplc="C5ACCD16" w:tentative="1">
      <w:start w:val="1"/>
      <w:numFmt w:val="bullet"/>
      <w:lvlText w:val="•"/>
      <w:lvlJc w:val="left"/>
      <w:pPr>
        <w:tabs>
          <w:tab w:val="num" w:pos="2880"/>
        </w:tabs>
        <w:ind w:left="2880" w:hanging="360"/>
      </w:pPr>
      <w:rPr>
        <w:rFonts w:ascii="Arial" w:hAnsi="Arial" w:hint="default"/>
      </w:rPr>
    </w:lvl>
    <w:lvl w:ilvl="4" w:tplc="44A85F7A" w:tentative="1">
      <w:start w:val="1"/>
      <w:numFmt w:val="bullet"/>
      <w:lvlText w:val="•"/>
      <w:lvlJc w:val="left"/>
      <w:pPr>
        <w:tabs>
          <w:tab w:val="num" w:pos="3600"/>
        </w:tabs>
        <w:ind w:left="3600" w:hanging="360"/>
      </w:pPr>
      <w:rPr>
        <w:rFonts w:ascii="Arial" w:hAnsi="Arial" w:hint="default"/>
      </w:rPr>
    </w:lvl>
    <w:lvl w:ilvl="5" w:tplc="4F2CBC52" w:tentative="1">
      <w:start w:val="1"/>
      <w:numFmt w:val="bullet"/>
      <w:lvlText w:val="•"/>
      <w:lvlJc w:val="left"/>
      <w:pPr>
        <w:tabs>
          <w:tab w:val="num" w:pos="4320"/>
        </w:tabs>
        <w:ind w:left="4320" w:hanging="360"/>
      </w:pPr>
      <w:rPr>
        <w:rFonts w:ascii="Arial" w:hAnsi="Arial" w:hint="default"/>
      </w:rPr>
    </w:lvl>
    <w:lvl w:ilvl="6" w:tplc="12D8633E" w:tentative="1">
      <w:start w:val="1"/>
      <w:numFmt w:val="bullet"/>
      <w:lvlText w:val="•"/>
      <w:lvlJc w:val="left"/>
      <w:pPr>
        <w:tabs>
          <w:tab w:val="num" w:pos="5040"/>
        </w:tabs>
        <w:ind w:left="5040" w:hanging="360"/>
      </w:pPr>
      <w:rPr>
        <w:rFonts w:ascii="Arial" w:hAnsi="Arial" w:hint="default"/>
      </w:rPr>
    </w:lvl>
    <w:lvl w:ilvl="7" w:tplc="CA5CCB38" w:tentative="1">
      <w:start w:val="1"/>
      <w:numFmt w:val="bullet"/>
      <w:lvlText w:val="•"/>
      <w:lvlJc w:val="left"/>
      <w:pPr>
        <w:tabs>
          <w:tab w:val="num" w:pos="5760"/>
        </w:tabs>
        <w:ind w:left="5760" w:hanging="360"/>
      </w:pPr>
      <w:rPr>
        <w:rFonts w:ascii="Arial" w:hAnsi="Arial" w:hint="default"/>
      </w:rPr>
    </w:lvl>
    <w:lvl w:ilvl="8" w:tplc="B518FDF0"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4CDA1455"/>
    <w:multiLevelType w:val="multilevel"/>
    <w:tmpl w:val="7BACF85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3" w15:restartNumberingAfterBreak="0">
    <w:nsid w:val="4D0E44AF"/>
    <w:multiLevelType w:val="hybridMultilevel"/>
    <w:tmpl w:val="AE52EBC6"/>
    <w:lvl w:ilvl="0" w:tplc="72E64050">
      <w:start w:val="2"/>
      <w:numFmt w:val="bullet"/>
      <w:lvlText w:val=""/>
      <w:lvlJc w:val="left"/>
      <w:pPr>
        <w:ind w:left="405" w:hanging="360"/>
      </w:pPr>
      <w:rPr>
        <w:rFonts w:ascii="Symbol" w:eastAsia="Times New Roman" w:hAnsi="Symbol" w:cs="Arial" w:hint="default"/>
      </w:rPr>
    </w:lvl>
    <w:lvl w:ilvl="1" w:tplc="04090003" w:tentative="1">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34" w15:restartNumberingAfterBreak="0">
    <w:nsid w:val="4D8F2C9E"/>
    <w:multiLevelType w:val="hybridMultilevel"/>
    <w:tmpl w:val="C45A49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E351121"/>
    <w:multiLevelType w:val="multilevel"/>
    <w:tmpl w:val="8268421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36" w15:restartNumberingAfterBreak="0">
    <w:nsid w:val="4F553E3D"/>
    <w:multiLevelType w:val="hybridMultilevel"/>
    <w:tmpl w:val="DC2E6C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51CC5013"/>
    <w:multiLevelType w:val="hybridMultilevel"/>
    <w:tmpl w:val="7E54E9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2357193"/>
    <w:multiLevelType w:val="hybridMultilevel"/>
    <w:tmpl w:val="AA0877B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2AF510C"/>
    <w:multiLevelType w:val="hybridMultilevel"/>
    <w:tmpl w:val="0C72C2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54E4862"/>
    <w:multiLevelType w:val="hybridMultilevel"/>
    <w:tmpl w:val="216A5C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56C91246"/>
    <w:multiLevelType w:val="hybridMultilevel"/>
    <w:tmpl w:val="7614627C"/>
    <w:lvl w:ilvl="0" w:tplc="95229FB0">
      <w:start w:val="1"/>
      <w:numFmt w:val="bullet"/>
      <w:lvlText w:val="•"/>
      <w:lvlJc w:val="left"/>
      <w:pPr>
        <w:tabs>
          <w:tab w:val="num" w:pos="720"/>
        </w:tabs>
        <w:ind w:left="720" w:hanging="360"/>
      </w:pPr>
      <w:rPr>
        <w:rFonts w:ascii="Arial" w:hAnsi="Arial" w:hint="default"/>
      </w:rPr>
    </w:lvl>
    <w:lvl w:ilvl="1" w:tplc="BFCC7866">
      <w:start w:val="1"/>
      <w:numFmt w:val="bullet"/>
      <w:lvlText w:val="•"/>
      <w:lvlJc w:val="left"/>
      <w:pPr>
        <w:tabs>
          <w:tab w:val="num" w:pos="1440"/>
        </w:tabs>
        <w:ind w:left="1440" w:hanging="360"/>
      </w:pPr>
      <w:rPr>
        <w:rFonts w:ascii="Arial" w:hAnsi="Arial" w:hint="default"/>
      </w:rPr>
    </w:lvl>
    <w:lvl w:ilvl="2" w:tplc="3C5E4D56" w:tentative="1">
      <w:start w:val="1"/>
      <w:numFmt w:val="bullet"/>
      <w:lvlText w:val="•"/>
      <w:lvlJc w:val="left"/>
      <w:pPr>
        <w:tabs>
          <w:tab w:val="num" w:pos="2160"/>
        </w:tabs>
        <w:ind w:left="2160" w:hanging="360"/>
      </w:pPr>
      <w:rPr>
        <w:rFonts w:ascii="Arial" w:hAnsi="Arial" w:hint="default"/>
      </w:rPr>
    </w:lvl>
    <w:lvl w:ilvl="3" w:tplc="55B2E704" w:tentative="1">
      <w:start w:val="1"/>
      <w:numFmt w:val="bullet"/>
      <w:lvlText w:val="•"/>
      <w:lvlJc w:val="left"/>
      <w:pPr>
        <w:tabs>
          <w:tab w:val="num" w:pos="2880"/>
        </w:tabs>
        <w:ind w:left="2880" w:hanging="360"/>
      </w:pPr>
      <w:rPr>
        <w:rFonts w:ascii="Arial" w:hAnsi="Arial" w:hint="default"/>
      </w:rPr>
    </w:lvl>
    <w:lvl w:ilvl="4" w:tplc="11F4038A" w:tentative="1">
      <w:start w:val="1"/>
      <w:numFmt w:val="bullet"/>
      <w:lvlText w:val="•"/>
      <w:lvlJc w:val="left"/>
      <w:pPr>
        <w:tabs>
          <w:tab w:val="num" w:pos="3600"/>
        </w:tabs>
        <w:ind w:left="3600" w:hanging="360"/>
      </w:pPr>
      <w:rPr>
        <w:rFonts w:ascii="Arial" w:hAnsi="Arial" w:hint="default"/>
      </w:rPr>
    </w:lvl>
    <w:lvl w:ilvl="5" w:tplc="1BAC1236" w:tentative="1">
      <w:start w:val="1"/>
      <w:numFmt w:val="bullet"/>
      <w:lvlText w:val="•"/>
      <w:lvlJc w:val="left"/>
      <w:pPr>
        <w:tabs>
          <w:tab w:val="num" w:pos="4320"/>
        </w:tabs>
        <w:ind w:left="4320" w:hanging="360"/>
      </w:pPr>
      <w:rPr>
        <w:rFonts w:ascii="Arial" w:hAnsi="Arial" w:hint="default"/>
      </w:rPr>
    </w:lvl>
    <w:lvl w:ilvl="6" w:tplc="EFFEABD0" w:tentative="1">
      <w:start w:val="1"/>
      <w:numFmt w:val="bullet"/>
      <w:lvlText w:val="•"/>
      <w:lvlJc w:val="left"/>
      <w:pPr>
        <w:tabs>
          <w:tab w:val="num" w:pos="5040"/>
        </w:tabs>
        <w:ind w:left="5040" w:hanging="360"/>
      </w:pPr>
      <w:rPr>
        <w:rFonts w:ascii="Arial" w:hAnsi="Arial" w:hint="default"/>
      </w:rPr>
    </w:lvl>
    <w:lvl w:ilvl="7" w:tplc="FF54D5DC" w:tentative="1">
      <w:start w:val="1"/>
      <w:numFmt w:val="bullet"/>
      <w:lvlText w:val="•"/>
      <w:lvlJc w:val="left"/>
      <w:pPr>
        <w:tabs>
          <w:tab w:val="num" w:pos="5760"/>
        </w:tabs>
        <w:ind w:left="5760" w:hanging="360"/>
      </w:pPr>
      <w:rPr>
        <w:rFonts w:ascii="Arial" w:hAnsi="Arial" w:hint="default"/>
      </w:rPr>
    </w:lvl>
    <w:lvl w:ilvl="8" w:tplc="EEF847AE" w:tentative="1">
      <w:start w:val="1"/>
      <w:numFmt w:val="bullet"/>
      <w:lvlText w:val="•"/>
      <w:lvlJc w:val="left"/>
      <w:pPr>
        <w:tabs>
          <w:tab w:val="num" w:pos="6480"/>
        </w:tabs>
        <w:ind w:left="6480" w:hanging="360"/>
      </w:pPr>
      <w:rPr>
        <w:rFonts w:ascii="Arial" w:hAnsi="Arial" w:hint="default"/>
      </w:rPr>
    </w:lvl>
  </w:abstractNum>
  <w:abstractNum w:abstractNumId="42" w15:restartNumberingAfterBreak="0">
    <w:nsid w:val="574669A7"/>
    <w:multiLevelType w:val="hybridMultilevel"/>
    <w:tmpl w:val="EF46EAF0"/>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43" w15:restartNumberingAfterBreak="0">
    <w:nsid w:val="574C4A1E"/>
    <w:multiLevelType w:val="hybridMultilevel"/>
    <w:tmpl w:val="563240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57594155"/>
    <w:multiLevelType w:val="multilevel"/>
    <w:tmpl w:val="5C1C3818"/>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5" w15:restartNumberingAfterBreak="0">
    <w:nsid w:val="57F76ECC"/>
    <w:multiLevelType w:val="multilevel"/>
    <w:tmpl w:val="8C2CE9FC"/>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46" w15:restartNumberingAfterBreak="0">
    <w:nsid w:val="5A1C336D"/>
    <w:multiLevelType w:val="hybridMultilevel"/>
    <w:tmpl w:val="18B89C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D7C1A81"/>
    <w:multiLevelType w:val="hybridMultilevel"/>
    <w:tmpl w:val="E33E832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15:restartNumberingAfterBreak="0">
    <w:nsid w:val="5DDF6D7F"/>
    <w:multiLevelType w:val="hybridMultilevel"/>
    <w:tmpl w:val="DDBE69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5F237A70"/>
    <w:multiLevelType w:val="multilevel"/>
    <w:tmpl w:val="EF923564"/>
    <w:lvl w:ilvl="0">
      <w:start w:val="1"/>
      <w:numFmt w:val="decimal"/>
      <w:lvlText w:val="%1."/>
      <w:lvlJc w:val="left"/>
      <w:pPr>
        <w:ind w:left="720" w:firstLine="360"/>
      </w:pPr>
      <w:rPr>
        <w:u w:val="none"/>
      </w:rPr>
    </w:lvl>
    <w:lvl w:ilvl="1">
      <w:start w:val="1"/>
      <w:numFmt w:val="lowerLetter"/>
      <w:lvlText w:val="%2."/>
      <w:lvlJc w:val="left"/>
      <w:pPr>
        <w:ind w:left="1440" w:firstLine="1080"/>
      </w:pPr>
      <w:rPr>
        <w:u w:val="none"/>
      </w:rPr>
    </w:lvl>
    <w:lvl w:ilvl="2">
      <w:start w:val="1"/>
      <w:numFmt w:val="lowerRoman"/>
      <w:lvlText w:val="%3."/>
      <w:lvlJc w:val="right"/>
      <w:pPr>
        <w:ind w:left="2160" w:firstLine="1800"/>
      </w:pPr>
      <w:rPr>
        <w:u w:val="none"/>
      </w:rPr>
    </w:lvl>
    <w:lvl w:ilvl="3">
      <w:start w:val="1"/>
      <w:numFmt w:val="decimal"/>
      <w:lvlText w:val="%4."/>
      <w:lvlJc w:val="left"/>
      <w:pPr>
        <w:ind w:left="2880" w:firstLine="2520"/>
      </w:pPr>
      <w:rPr>
        <w:u w:val="none"/>
      </w:rPr>
    </w:lvl>
    <w:lvl w:ilvl="4">
      <w:start w:val="1"/>
      <w:numFmt w:val="lowerLetter"/>
      <w:lvlText w:val="%5."/>
      <w:lvlJc w:val="left"/>
      <w:pPr>
        <w:ind w:left="3600" w:firstLine="3240"/>
      </w:pPr>
      <w:rPr>
        <w:u w:val="none"/>
      </w:rPr>
    </w:lvl>
    <w:lvl w:ilvl="5">
      <w:start w:val="1"/>
      <w:numFmt w:val="lowerRoman"/>
      <w:lvlText w:val="%6."/>
      <w:lvlJc w:val="right"/>
      <w:pPr>
        <w:ind w:left="4320" w:firstLine="3960"/>
      </w:pPr>
      <w:rPr>
        <w:u w:val="none"/>
      </w:rPr>
    </w:lvl>
    <w:lvl w:ilvl="6">
      <w:start w:val="1"/>
      <w:numFmt w:val="decimal"/>
      <w:lvlText w:val="%7."/>
      <w:lvlJc w:val="left"/>
      <w:pPr>
        <w:ind w:left="5040" w:firstLine="4680"/>
      </w:pPr>
      <w:rPr>
        <w:u w:val="none"/>
      </w:rPr>
    </w:lvl>
    <w:lvl w:ilvl="7">
      <w:start w:val="1"/>
      <w:numFmt w:val="lowerLetter"/>
      <w:lvlText w:val="%8."/>
      <w:lvlJc w:val="left"/>
      <w:pPr>
        <w:ind w:left="5760" w:firstLine="5400"/>
      </w:pPr>
      <w:rPr>
        <w:u w:val="none"/>
      </w:rPr>
    </w:lvl>
    <w:lvl w:ilvl="8">
      <w:start w:val="1"/>
      <w:numFmt w:val="lowerRoman"/>
      <w:lvlText w:val="%9."/>
      <w:lvlJc w:val="right"/>
      <w:pPr>
        <w:ind w:left="6480" w:firstLine="6120"/>
      </w:pPr>
      <w:rPr>
        <w:u w:val="none"/>
      </w:rPr>
    </w:lvl>
  </w:abstractNum>
  <w:abstractNum w:abstractNumId="50" w15:restartNumberingAfterBreak="0">
    <w:nsid w:val="60380D1C"/>
    <w:multiLevelType w:val="hybridMultilevel"/>
    <w:tmpl w:val="5504EC8C"/>
    <w:lvl w:ilvl="0" w:tplc="0409000F">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15:restartNumberingAfterBreak="0">
    <w:nsid w:val="60A90BD6"/>
    <w:multiLevelType w:val="hybridMultilevel"/>
    <w:tmpl w:val="93B04194"/>
    <w:lvl w:ilvl="0" w:tplc="2662EC3C">
      <w:start w:val="1"/>
      <w:numFmt w:val="bullet"/>
      <w:lvlText w:val="•"/>
      <w:lvlJc w:val="left"/>
      <w:pPr>
        <w:tabs>
          <w:tab w:val="num" w:pos="720"/>
        </w:tabs>
        <w:ind w:left="720" w:hanging="360"/>
      </w:pPr>
      <w:rPr>
        <w:rFonts w:ascii="Arial" w:hAnsi="Arial" w:hint="default"/>
      </w:rPr>
    </w:lvl>
    <w:lvl w:ilvl="1" w:tplc="585AEAEC">
      <w:start w:val="1"/>
      <w:numFmt w:val="bullet"/>
      <w:lvlText w:val="•"/>
      <w:lvlJc w:val="left"/>
      <w:pPr>
        <w:tabs>
          <w:tab w:val="num" w:pos="1440"/>
        </w:tabs>
        <w:ind w:left="1440" w:hanging="360"/>
      </w:pPr>
      <w:rPr>
        <w:rFonts w:ascii="Arial" w:hAnsi="Arial" w:hint="default"/>
      </w:rPr>
    </w:lvl>
    <w:lvl w:ilvl="2" w:tplc="119845E2" w:tentative="1">
      <w:start w:val="1"/>
      <w:numFmt w:val="bullet"/>
      <w:lvlText w:val="•"/>
      <w:lvlJc w:val="left"/>
      <w:pPr>
        <w:tabs>
          <w:tab w:val="num" w:pos="2160"/>
        </w:tabs>
        <w:ind w:left="2160" w:hanging="360"/>
      </w:pPr>
      <w:rPr>
        <w:rFonts w:ascii="Arial" w:hAnsi="Arial" w:hint="default"/>
      </w:rPr>
    </w:lvl>
    <w:lvl w:ilvl="3" w:tplc="5544A568" w:tentative="1">
      <w:start w:val="1"/>
      <w:numFmt w:val="bullet"/>
      <w:lvlText w:val="•"/>
      <w:lvlJc w:val="left"/>
      <w:pPr>
        <w:tabs>
          <w:tab w:val="num" w:pos="2880"/>
        </w:tabs>
        <w:ind w:left="2880" w:hanging="360"/>
      </w:pPr>
      <w:rPr>
        <w:rFonts w:ascii="Arial" w:hAnsi="Arial" w:hint="default"/>
      </w:rPr>
    </w:lvl>
    <w:lvl w:ilvl="4" w:tplc="FAF08AAC" w:tentative="1">
      <w:start w:val="1"/>
      <w:numFmt w:val="bullet"/>
      <w:lvlText w:val="•"/>
      <w:lvlJc w:val="left"/>
      <w:pPr>
        <w:tabs>
          <w:tab w:val="num" w:pos="3600"/>
        </w:tabs>
        <w:ind w:left="3600" w:hanging="360"/>
      </w:pPr>
      <w:rPr>
        <w:rFonts w:ascii="Arial" w:hAnsi="Arial" w:hint="default"/>
      </w:rPr>
    </w:lvl>
    <w:lvl w:ilvl="5" w:tplc="8020EFEC" w:tentative="1">
      <w:start w:val="1"/>
      <w:numFmt w:val="bullet"/>
      <w:lvlText w:val="•"/>
      <w:lvlJc w:val="left"/>
      <w:pPr>
        <w:tabs>
          <w:tab w:val="num" w:pos="4320"/>
        </w:tabs>
        <w:ind w:left="4320" w:hanging="360"/>
      </w:pPr>
      <w:rPr>
        <w:rFonts w:ascii="Arial" w:hAnsi="Arial" w:hint="default"/>
      </w:rPr>
    </w:lvl>
    <w:lvl w:ilvl="6" w:tplc="B9DE0C46" w:tentative="1">
      <w:start w:val="1"/>
      <w:numFmt w:val="bullet"/>
      <w:lvlText w:val="•"/>
      <w:lvlJc w:val="left"/>
      <w:pPr>
        <w:tabs>
          <w:tab w:val="num" w:pos="5040"/>
        </w:tabs>
        <w:ind w:left="5040" w:hanging="360"/>
      </w:pPr>
      <w:rPr>
        <w:rFonts w:ascii="Arial" w:hAnsi="Arial" w:hint="default"/>
      </w:rPr>
    </w:lvl>
    <w:lvl w:ilvl="7" w:tplc="2E7EDD82" w:tentative="1">
      <w:start w:val="1"/>
      <w:numFmt w:val="bullet"/>
      <w:lvlText w:val="•"/>
      <w:lvlJc w:val="left"/>
      <w:pPr>
        <w:tabs>
          <w:tab w:val="num" w:pos="5760"/>
        </w:tabs>
        <w:ind w:left="5760" w:hanging="360"/>
      </w:pPr>
      <w:rPr>
        <w:rFonts w:ascii="Arial" w:hAnsi="Arial" w:hint="default"/>
      </w:rPr>
    </w:lvl>
    <w:lvl w:ilvl="8" w:tplc="4852FF78" w:tentative="1">
      <w:start w:val="1"/>
      <w:numFmt w:val="bullet"/>
      <w:lvlText w:val="•"/>
      <w:lvlJc w:val="left"/>
      <w:pPr>
        <w:tabs>
          <w:tab w:val="num" w:pos="6480"/>
        </w:tabs>
        <w:ind w:left="6480" w:hanging="360"/>
      </w:pPr>
      <w:rPr>
        <w:rFonts w:ascii="Arial" w:hAnsi="Arial" w:hint="default"/>
      </w:rPr>
    </w:lvl>
  </w:abstractNum>
  <w:abstractNum w:abstractNumId="52" w15:restartNumberingAfterBreak="0">
    <w:nsid w:val="624B2818"/>
    <w:multiLevelType w:val="hybridMultilevel"/>
    <w:tmpl w:val="A50C27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68833BAE"/>
    <w:multiLevelType w:val="hybridMultilevel"/>
    <w:tmpl w:val="616E2F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6B480602"/>
    <w:multiLevelType w:val="hybridMultilevel"/>
    <w:tmpl w:val="6DE2E532"/>
    <w:lvl w:ilvl="0" w:tplc="3DB81B58">
      <w:start w:val="1"/>
      <w:numFmt w:val="bullet"/>
      <w:lvlText w:val="•"/>
      <w:lvlJc w:val="left"/>
      <w:pPr>
        <w:tabs>
          <w:tab w:val="num" w:pos="720"/>
        </w:tabs>
        <w:ind w:left="720" w:hanging="360"/>
      </w:pPr>
      <w:rPr>
        <w:rFonts w:ascii="Arial" w:hAnsi="Arial" w:hint="default"/>
      </w:rPr>
    </w:lvl>
    <w:lvl w:ilvl="1" w:tplc="4566D8C0">
      <w:start w:val="1"/>
      <w:numFmt w:val="bullet"/>
      <w:lvlText w:val="•"/>
      <w:lvlJc w:val="left"/>
      <w:pPr>
        <w:tabs>
          <w:tab w:val="num" w:pos="1440"/>
        </w:tabs>
        <w:ind w:left="1440" w:hanging="360"/>
      </w:pPr>
      <w:rPr>
        <w:rFonts w:ascii="Arial" w:hAnsi="Arial" w:hint="default"/>
      </w:rPr>
    </w:lvl>
    <w:lvl w:ilvl="2" w:tplc="C27230A2" w:tentative="1">
      <w:start w:val="1"/>
      <w:numFmt w:val="bullet"/>
      <w:lvlText w:val="•"/>
      <w:lvlJc w:val="left"/>
      <w:pPr>
        <w:tabs>
          <w:tab w:val="num" w:pos="2160"/>
        </w:tabs>
        <w:ind w:left="2160" w:hanging="360"/>
      </w:pPr>
      <w:rPr>
        <w:rFonts w:ascii="Arial" w:hAnsi="Arial" w:hint="default"/>
      </w:rPr>
    </w:lvl>
    <w:lvl w:ilvl="3" w:tplc="2B8AD652" w:tentative="1">
      <w:start w:val="1"/>
      <w:numFmt w:val="bullet"/>
      <w:lvlText w:val="•"/>
      <w:lvlJc w:val="left"/>
      <w:pPr>
        <w:tabs>
          <w:tab w:val="num" w:pos="2880"/>
        </w:tabs>
        <w:ind w:left="2880" w:hanging="360"/>
      </w:pPr>
      <w:rPr>
        <w:rFonts w:ascii="Arial" w:hAnsi="Arial" w:hint="default"/>
      </w:rPr>
    </w:lvl>
    <w:lvl w:ilvl="4" w:tplc="AAD89F92" w:tentative="1">
      <w:start w:val="1"/>
      <w:numFmt w:val="bullet"/>
      <w:lvlText w:val="•"/>
      <w:lvlJc w:val="left"/>
      <w:pPr>
        <w:tabs>
          <w:tab w:val="num" w:pos="3600"/>
        </w:tabs>
        <w:ind w:left="3600" w:hanging="360"/>
      </w:pPr>
      <w:rPr>
        <w:rFonts w:ascii="Arial" w:hAnsi="Arial" w:hint="default"/>
      </w:rPr>
    </w:lvl>
    <w:lvl w:ilvl="5" w:tplc="5608D6FE" w:tentative="1">
      <w:start w:val="1"/>
      <w:numFmt w:val="bullet"/>
      <w:lvlText w:val="•"/>
      <w:lvlJc w:val="left"/>
      <w:pPr>
        <w:tabs>
          <w:tab w:val="num" w:pos="4320"/>
        </w:tabs>
        <w:ind w:left="4320" w:hanging="360"/>
      </w:pPr>
      <w:rPr>
        <w:rFonts w:ascii="Arial" w:hAnsi="Arial" w:hint="default"/>
      </w:rPr>
    </w:lvl>
    <w:lvl w:ilvl="6" w:tplc="905A34B8" w:tentative="1">
      <w:start w:val="1"/>
      <w:numFmt w:val="bullet"/>
      <w:lvlText w:val="•"/>
      <w:lvlJc w:val="left"/>
      <w:pPr>
        <w:tabs>
          <w:tab w:val="num" w:pos="5040"/>
        </w:tabs>
        <w:ind w:left="5040" w:hanging="360"/>
      </w:pPr>
      <w:rPr>
        <w:rFonts w:ascii="Arial" w:hAnsi="Arial" w:hint="default"/>
      </w:rPr>
    </w:lvl>
    <w:lvl w:ilvl="7" w:tplc="E3280E14" w:tentative="1">
      <w:start w:val="1"/>
      <w:numFmt w:val="bullet"/>
      <w:lvlText w:val="•"/>
      <w:lvlJc w:val="left"/>
      <w:pPr>
        <w:tabs>
          <w:tab w:val="num" w:pos="5760"/>
        </w:tabs>
        <w:ind w:left="5760" w:hanging="360"/>
      </w:pPr>
      <w:rPr>
        <w:rFonts w:ascii="Arial" w:hAnsi="Arial" w:hint="default"/>
      </w:rPr>
    </w:lvl>
    <w:lvl w:ilvl="8" w:tplc="65968870" w:tentative="1">
      <w:start w:val="1"/>
      <w:numFmt w:val="bullet"/>
      <w:lvlText w:val="•"/>
      <w:lvlJc w:val="left"/>
      <w:pPr>
        <w:tabs>
          <w:tab w:val="num" w:pos="6480"/>
        </w:tabs>
        <w:ind w:left="6480" w:hanging="360"/>
      </w:pPr>
      <w:rPr>
        <w:rFonts w:ascii="Arial" w:hAnsi="Arial" w:hint="default"/>
      </w:rPr>
    </w:lvl>
  </w:abstractNum>
  <w:abstractNum w:abstractNumId="55" w15:restartNumberingAfterBreak="0">
    <w:nsid w:val="6D814539"/>
    <w:multiLevelType w:val="multilevel"/>
    <w:tmpl w:val="485088CA"/>
    <w:lvl w:ilvl="0">
      <w:start w:val="1"/>
      <w:numFmt w:val="bullet"/>
      <w:lvlText w:val=""/>
      <w:lvlJc w:val="left"/>
      <w:pPr>
        <w:ind w:left="0" w:firstLine="360"/>
      </w:pPr>
      <w:rPr>
        <w:rFonts w:ascii="Symbol" w:hAnsi="Symbol" w:hint="default"/>
        <w:u w:val="none"/>
      </w:rPr>
    </w:lvl>
    <w:lvl w:ilvl="1">
      <w:start w:val="1"/>
      <w:numFmt w:val="bullet"/>
      <w:lvlText w:val="○"/>
      <w:lvlJc w:val="left"/>
      <w:pPr>
        <w:ind w:left="720" w:firstLine="1080"/>
      </w:pPr>
      <w:rPr>
        <w:u w:val="none"/>
      </w:rPr>
    </w:lvl>
    <w:lvl w:ilvl="2">
      <w:start w:val="1"/>
      <w:numFmt w:val="bullet"/>
      <w:lvlText w:val="■"/>
      <w:lvlJc w:val="left"/>
      <w:pPr>
        <w:ind w:left="1440" w:firstLine="1800"/>
      </w:pPr>
      <w:rPr>
        <w:u w:val="none"/>
      </w:rPr>
    </w:lvl>
    <w:lvl w:ilvl="3">
      <w:start w:val="1"/>
      <w:numFmt w:val="bullet"/>
      <w:lvlText w:val="●"/>
      <w:lvlJc w:val="left"/>
      <w:pPr>
        <w:ind w:left="2160" w:firstLine="2520"/>
      </w:pPr>
      <w:rPr>
        <w:u w:val="none"/>
      </w:rPr>
    </w:lvl>
    <w:lvl w:ilvl="4">
      <w:start w:val="1"/>
      <w:numFmt w:val="bullet"/>
      <w:lvlText w:val="○"/>
      <w:lvlJc w:val="left"/>
      <w:pPr>
        <w:ind w:left="2880" w:firstLine="3240"/>
      </w:pPr>
      <w:rPr>
        <w:u w:val="none"/>
      </w:rPr>
    </w:lvl>
    <w:lvl w:ilvl="5">
      <w:start w:val="1"/>
      <w:numFmt w:val="bullet"/>
      <w:lvlText w:val="■"/>
      <w:lvlJc w:val="left"/>
      <w:pPr>
        <w:ind w:left="3600" w:firstLine="3960"/>
      </w:pPr>
      <w:rPr>
        <w:u w:val="none"/>
      </w:rPr>
    </w:lvl>
    <w:lvl w:ilvl="6">
      <w:start w:val="1"/>
      <w:numFmt w:val="bullet"/>
      <w:lvlText w:val="●"/>
      <w:lvlJc w:val="left"/>
      <w:pPr>
        <w:ind w:left="4320" w:firstLine="4680"/>
      </w:pPr>
      <w:rPr>
        <w:u w:val="none"/>
      </w:rPr>
    </w:lvl>
    <w:lvl w:ilvl="7">
      <w:start w:val="1"/>
      <w:numFmt w:val="bullet"/>
      <w:lvlText w:val="○"/>
      <w:lvlJc w:val="left"/>
      <w:pPr>
        <w:ind w:left="5040" w:firstLine="5400"/>
      </w:pPr>
      <w:rPr>
        <w:u w:val="none"/>
      </w:rPr>
    </w:lvl>
    <w:lvl w:ilvl="8">
      <w:start w:val="1"/>
      <w:numFmt w:val="bullet"/>
      <w:lvlText w:val="■"/>
      <w:lvlJc w:val="left"/>
      <w:pPr>
        <w:ind w:left="5760" w:firstLine="6120"/>
      </w:pPr>
      <w:rPr>
        <w:u w:val="none"/>
      </w:rPr>
    </w:lvl>
  </w:abstractNum>
  <w:abstractNum w:abstractNumId="56" w15:restartNumberingAfterBreak="0">
    <w:nsid w:val="6D9A7C62"/>
    <w:multiLevelType w:val="hybridMultilevel"/>
    <w:tmpl w:val="FA2C1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72A61DB0"/>
    <w:multiLevelType w:val="hybridMultilevel"/>
    <w:tmpl w:val="381E5F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747D3F1A"/>
    <w:multiLevelType w:val="hybridMultilevel"/>
    <w:tmpl w:val="3872EF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79273239"/>
    <w:multiLevelType w:val="hybridMultilevel"/>
    <w:tmpl w:val="D298CC40"/>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0" w15:restartNumberingAfterBreak="0">
    <w:nsid w:val="7BE84237"/>
    <w:multiLevelType w:val="multilevel"/>
    <w:tmpl w:val="15327746"/>
    <w:lvl w:ilvl="0">
      <w:start w:val="1"/>
      <w:numFmt w:val="decimal"/>
      <w:lvlText w:val="%1."/>
      <w:lvlJc w:val="left"/>
      <w:pPr>
        <w:ind w:left="0" w:firstLine="360"/>
      </w:pPr>
      <w:rPr>
        <w:u w:val="none"/>
      </w:rPr>
    </w:lvl>
    <w:lvl w:ilvl="1">
      <w:start w:val="1"/>
      <w:numFmt w:val="lowerLetter"/>
      <w:lvlText w:val="%2."/>
      <w:lvlJc w:val="left"/>
      <w:pPr>
        <w:ind w:left="720" w:firstLine="1080"/>
      </w:pPr>
      <w:rPr>
        <w:u w:val="none"/>
      </w:rPr>
    </w:lvl>
    <w:lvl w:ilvl="2">
      <w:start w:val="1"/>
      <w:numFmt w:val="lowerRoman"/>
      <w:lvlText w:val="%3."/>
      <w:lvlJc w:val="right"/>
      <w:pPr>
        <w:ind w:left="1440" w:firstLine="1800"/>
      </w:pPr>
      <w:rPr>
        <w:u w:val="none"/>
      </w:rPr>
    </w:lvl>
    <w:lvl w:ilvl="3">
      <w:start w:val="1"/>
      <w:numFmt w:val="decimal"/>
      <w:lvlText w:val="%4."/>
      <w:lvlJc w:val="left"/>
      <w:pPr>
        <w:ind w:left="2160" w:firstLine="2520"/>
      </w:pPr>
      <w:rPr>
        <w:u w:val="none"/>
      </w:rPr>
    </w:lvl>
    <w:lvl w:ilvl="4">
      <w:start w:val="1"/>
      <w:numFmt w:val="lowerLetter"/>
      <w:lvlText w:val="%5."/>
      <w:lvlJc w:val="left"/>
      <w:pPr>
        <w:ind w:left="2880" w:firstLine="3240"/>
      </w:pPr>
      <w:rPr>
        <w:u w:val="none"/>
      </w:rPr>
    </w:lvl>
    <w:lvl w:ilvl="5">
      <w:start w:val="1"/>
      <w:numFmt w:val="lowerRoman"/>
      <w:lvlText w:val="%6."/>
      <w:lvlJc w:val="right"/>
      <w:pPr>
        <w:ind w:left="3600" w:firstLine="3960"/>
      </w:pPr>
      <w:rPr>
        <w:u w:val="none"/>
      </w:rPr>
    </w:lvl>
    <w:lvl w:ilvl="6">
      <w:start w:val="1"/>
      <w:numFmt w:val="decimal"/>
      <w:lvlText w:val="%7."/>
      <w:lvlJc w:val="left"/>
      <w:pPr>
        <w:ind w:left="4320" w:firstLine="4680"/>
      </w:pPr>
      <w:rPr>
        <w:u w:val="none"/>
      </w:rPr>
    </w:lvl>
    <w:lvl w:ilvl="7">
      <w:start w:val="1"/>
      <w:numFmt w:val="lowerLetter"/>
      <w:lvlText w:val="%8."/>
      <w:lvlJc w:val="left"/>
      <w:pPr>
        <w:ind w:left="5040" w:firstLine="5400"/>
      </w:pPr>
      <w:rPr>
        <w:u w:val="none"/>
      </w:rPr>
    </w:lvl>
    <w:lvl w:ilvl="8">
      <w:start w:val="1"/>
      <w:numFmt w:val="lowerRoman"/>
      <w:lvlText w:val="%9."/>
      <w:lvlJc w:val="right"/>
      <w:pPr>
        <w:ind w:left="5760" w:firstLine="6120"/>
      </w:pPr>
      <w:rPr>
        <w:u w:val="none"/>
      </w:rPr>
    </w:lvl>
  </w:abstractNum>
  <w:num w:numId="1">
    <w:abstractNumId w:val="33"/>
  </w:num>
  <w:num w:numId="2">
    <w:abstractNumId w:val="34"/>
  </w:num>
  <w:num w:numId="3">
    <w:abstractNumId w:val="57"/>
  </w:num>
  <w:num w:numId="4">
    <w:abstractNumId w:val="37"/>
  </w:num>
  <w:num w:numId="5">
    <w:abstractNumId w:val="36"/>
  </w:num>
  <w:num w:numId="6">
    <w:abstractNumId w:val="52"/>
  </w:num>
  <w:num w:numId="7">
    <w:abstractNumId w:val="9"/>
  </w:num>
  <w:num w:numId="8">
    <w:abstractNumId w:val="0"/>
  </w:num>
  <w:num w:numId="9">
    <w:abstractNumId w:val="22"/>
  </w:num>
  <w:num w:numId="10">
    <w:abstractNumId w:val="21"/>
  </w:num>
  <w:num w:numId="11">
    <w:abstractNumId w:val="20"/>
  </w:num>
  <w:num w:numId="12">
    <w:abstractNumId w:val="44"/>
  </w:num>
  <w:num w:numId="13">
    <w:abstractNumId w:val="45"/>
  </w:num>
  <w:num w:numId="14">
    <w:abstractNumId w:val="6"/>
  </w:num>
  <w:num w:numId="15">
    <w:abstractNumId w:val="41"/>
  </w:num>
  <w:num w:numId="16">
    <w:abstractNumId w:val="13"/>
  </w:num>
  <w:num w:numId="17">
    <w:abstractNumId w:val="3"/>
  </w:num>
  <w:num w:numId="18">
    <w:abstractNumId w:val="54"/>
  </w:num>
  <w:num w:numId="19">
    <w:abstractNumId w:val="51"/>
  </w:num>
  <w:num w:numId="20">
    <w:abstractNumId w:val="31"/>
  </w:num>
  <w:num w:numId="21">
    <w:abstractNumId w:val="5"/>
  </w:num>
  <w:num w:numId="22">
    <w:abstractNumId w:val="18"/>
  </w:num>
  <w:num w:numId="23">
    <w:abstractNumId w:val="32"/>
  </w:num>
  <w:num w:numId="24">
    <w:abstractNumId w:val="24"/>
  </w:num>
  <w:num w:numId="25">
    <w:abstractNumId w:val="30"/>
  </w:num>
  <w:num w:numId="26">
    <w:abstractNumId w:val="50"/>
  </w:num>
  <w:num w:numId="27">
    <w:abstractNumId w:val="29"/>
  </w:num>
  <w:num w:numId="28">
    <w:abstractNumId w:val="38"/>
  </w:num>
  <w:num w:numId="29">
    <w:abstractNumId w:val="1"/>
  </w:num>
  <w:num w:numId="30">
    <w:abstractNumId w:val="8"/>
  </w:num>
  <w:num w:numId="31">
    <w:abstractNumId w:val="39"/>
  </w:num>
  <w:num w:numId="32">
    <w:abstractNumId w:val="15"/>
  </w:num>
  <w:num w:numId="33">
    <w:abstractNumId w:val="23"/>
  </w:num>
  <w:num w:numId="34">
    <w:abstractNumId w:val="10"/>
  </w:num>
  <w:num w:numId="35">
    <w:abstractNumId w:val="58"/>
  </w:num>
  <w:num w:numId="36">
    <w:abstractNumId w:val="59"/>
  </w:num>
  <w:num w:numId="37">
    <w:abstractNumId w:val="16"/>
  </w:num>
  <w:num w:numId="38">
    <w:abstractNumId w:val="4"/>
  </w:num>
  <w:num w:numId="39">
    <w:abstractNumId w:val="27"/>
  </w:num>
  <w:num w:numId="40">
    <w:abstractNumId w:val="7"/>
  </w:num>
  <w:num w:numId="41">
    <w:abstractNumId w:val="14"/>
  </w:num>
  <w:num w:numId="42">
    <w:abstractNumId w:val="35"/>
  </w:num>
  <w:num w:numId="43">
    <w:abstractNumId w:val="49"/>
  </w:num>
  <w:num w:numId="44">
    <w:abstractNumId w:val="28"/>
  </w:num>
  <w:num w:numId="45">
    <w:abstractNumId w:val="11"/>
  </w:num>
  <w:num w:numId="46">
    <w:abstractNumId w:val="25"/>
  </w:num>
  <w:num w:numId="47">
    <w:abstractNumId w:val="26"/>
  </w:num>
  <w:num w:numId="48">
    <w:abstractNumId w:val="47"/>
  </w:num>
  <w:num w:numId="49">
    <w:abstractNumId w:val="19"/>
  </w:num>
  <w:num w:numId="50">
    <w:abstractNumId w:val="17"/>
  </w:num>
  <w:num w:numId="51">
    <w:abstractNumId w:val="2"/>
  </w:num>
  <w:num w:numId="52">
    <w:abstractNumId w:val="43"/>
  </w:num>
  <w:num w:numId="53">
    <w:abstractNumId w:val="53"/>
  </w:num>
  <w:num w:numId="54">
    <w:abstractNumId w:val="40"/>
  </w:num>
  <w:num w:numId="55">
    <w:abstractNumId w:val="56"/>
  </w:num>
  <w:num w:numId="56">
    <w:abstractNumId w:val="46"/>
  </w:num>
  <w:num w:numId="57">
    <w:abstractNumId w:val="48"/>
  </w:num>
  <w:num w:numId="58">
    <w:abstractNumId w:val="55"/>
  </w:num>
  <w:num w:numId="59">
    <w:abstractNumId w:val="42"/>
  </w:num>
  <w:num w:numId="60">
    <w:abstractNumId w:val="60"/>
  </w:num>
  <w:num w:numId="61">
    <w:abstractNumId w:val="12"/>
  </w:num>
  <w:numIdMacAtCleanup w:val="5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C4A33"/>
    <w:rsid w:val="00003625"/>
    <w:rsid w:val="000F03D3"/>
    <w:rsid w:val="001050A0"/>
    <w:rsid w:val="001232A8"/>
    <w:rsid w:val="00144746"/>
    <w:rsid w:val="001556F9"/>
    <w:rsid w:val="001C4A33"/>
    <w:rsid w:val="001D012F"/>
    <w:rsid w:val="001D6F6A"/>
    <w:rsid w:val="001E2840"/>
    <w:rsid w:val="001E69C8"/>
    <w:rsid w:val="00200D05"/>
    <w:rsid w:val="00214492"/>
    <w:rsid w:val="002153E7"/>
    <w:rsid w:val="0028783A"/>
    <w:rsid w:val="002907A6"/>
    <w:rsid w:val="00290C9D"/>
    <w:rsid w:val="00300E13"/>
    <w:rsid w:val="003028B1"/>
    <w:rsid w:val="00326A5A"/>
    <w:rsid w:val="00326E8C"/>
    <w:rsid w:val="00334985"/>
    <w:rsid w:val="003970E9"/>
    <w:rsid w:val="003B00B6"/>
    <w:rsid w:val="003B6C07"/>
    <w:rsid w:val="003D0CCA"/>
    <w:rsid w:val="00407776"/>
    <w:rsid w:val="0042235E"/>
    <w:rsid w:val="00463E64"/>
    <w:rsid w:val="00467A66"/>
    <w:rsid w:val="004A7E69"/>
    <w:rsid w:val="004F3ECB"/>
    <w:rsid w:val="0050170F"/>
    <w:rsid w:val="00522948"/>
    <w:rsid w:val="005245A4"/>
    <w:rsid w:val="00546832"/>
    <w:rsid w:val="00562635"/>
    <w:rsid w:val="005628CB"/>
    <w:rsid w:val="00573632"/>
    <w:rsid w:val="005F2213"/>
    <w:rsid w:val="00631A93"/>
    <w:rsid w:val="00631AF8"/>
    <w:rsid w:val="006501FF"/>
    <w:rsid w:val="006807B9"/>
    <w:rsid w:val="006A6394"/>
    <w:rsid w:val="006E6778"/>
    <w:rsid w:val="006F18A1"/>
    <w:rsid w:val="00701393"/>
    <w:rsid w:val="00715B5C"/>
    <w:rsid w:val="00721E19"/>
    <w:rsid w:val="007266FE"/>
    <w:rsid w:val="007729CA"/>
    <w:rsid w:val="00783955"/>
    <w:rsid w:val="007D6837"/>
    <w:rsid w:val="00812270"/>
    <w:rsid w:val="00823FF4"/>
    <w:rsid w:val="00895479"/>
    <w:rsid w:val="008C018E"/>
    <w:rsid w:val="008D51B2"/>
    <w:rsid w:val="008E03E5"/>
    <w:rsid w:val="008F1341"/>
    <w:rsid w:val="009172FA"/>
    <w:rsid w:val="00931467"/>
    <w:rsid w:val="0096730F"/>
    <w:rsid w:val="00970DE7"/>
    <w:rsid w:val="009735F3"/>
    <w:rsid w:val="009741FC"/>
    <w:rsid w:val="00982F79"/>
    <w:rsid w:val="009938B4"/>
    <w:rsid w:val="00996183"/>
    <w:rsid w:val="009F2BB2"/>
    <w:rsid w:val="00A10DE8"/>
    <w:rsid w:val="00A146A0"/>
    <w:rsid w:val="00A45246"/>
    <w:rsid w:val="00A63144"/>
    <w:rsid w:val="00A97A55"/>
    <w:rsid w:val="00AB2E70"/>
    <w:rsid w:val="00B074E6"/>
    <w:rsid w:val="00B243E0"/>
    <w:rsid w:val="00B33F5B"/>
    <w:rsid w:val="00B42C57"/>
    <w:rsid w:val="00B60FDB"/>
    <w:rsid w:val="00B90508"/>
    <w:rsid w:val="00B968DB"/>
    <w:rsid w:val="00BC3605"/>
    <w:rsid w:val="00BC7240"/>
    <w:rsid w:val="00BE0816"/>
    <w:rsid w:val="00C23884"/>
    <w:rsid w:val="00C25671"/>
    <w:rsid w:val="00C274A5"/>
    <w:rsid w:val="00C57BB8"/>
    <w:rsid w:val="00C84BBF"/>
    <w:rsid w:val="00C87BB9"/>
    <w:rsid w:val="00CC17BD"/>
    <w:rsid w:val="00CE1C4F"/>
    <w:rsid w:val="00D05070"/>
    <w:rsid w:val="00D074BB"/>
    <w:rsid w:val="00D26694"/>
    <w:rsid w:val="00D55723"/>
    <w:rsid w:val="00D84E97"/>
    <w:rsid w:val="00DA1780"/>
    <w:rsid w:val="00DB2B36"/>
    <w:rsid w:val="00DB42B8"/>
    <w:rsid w:val="00E06068"/>
    <w:rsid w:val="00E21625"/>
    <w:rsid w:val="00E30DE8"/>
    <w:rsid w:val="00E46FC7"/>
    <w:rsid w:val="00E70E21"/>
    <w:rsid w:val="00EA3E90"/>
    <w:rsid w:val="00EB0781"/>
    <w:rsid w:val="00F14FE4"/>
    <w:rsid w:val="00F43BD5"/>
    <w:rsid w:val="00F71F27"/>
    <w:rsid w:val="00F80AD9"/>
    <w:rsid w:val="00FA2991"/>
    <w:rsid w:val="00FE65F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1D5F17AE"/>
  <w15:chartTrackingRefBased/>
  <w15:docId w15:val="{465B1D51-7545-4356-AF03-19778CA163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DB2B36"/>
  </w:style>
  <w:style w:type="paragraph" w:styleId="Heading1">
    <w:name w:val="heading 1"/>
    <w:basedOn w:val="Normal"/>
    <w:link w:val="Heading1Char"/>
    <w:uiPriority w:val="9"/>
    <w:qFormat/>
    <w:rsid w:val="0028783A"/>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Heading2">
    <w:name w:val="heading 2"/>
    <w:basedOn w:val="Normal"/>
    <w:link w:val="Heading2Char"/>
    <w:uiPriority w:val="9"/>
    <w:qFormat/>
    <w:rsid w:val="0028783A"/>
    <w:pPr>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link w:val="Heading3Char"/>
    <w:uiPriority w:val="9"/>
    <w:qFormat/>
    <w:rsid w:val="0028783A"/>
    <w:pPr>
      <w:spacing w:before="100" w:beforeAutospacing="1" w:after="100" w:afterAutospacing="1" w:line="240" w:lineRule="auto"/>
      <w:outlineLvl w:val="2"/>
    </w:pPr>
    <w:rPr>
      <w:rFonts w:ascii="Times New Roman" w:eastAsia="Times New Roman" w:hAnsi="Times New Roman" w:cs="Times New Roman"/>
      <w:b/>
      <w:bCs/>
      <w:sz w:val="27"/>
      <w:szCs w:val="27"/>
    </w:rPr>
  </w:style>
  <w:style w:type="paragraph" w:styleId="Heading4">
    <w:name w:val="heading 4"/>
    <w:basedOn w:val="Normal"/>
    <w:link w:val="Heading4Char"/>
    <w:uiPriority w:val="9"/>
    <w:qFormat/>
    <w:rsid w:val="0028783A"/>
    <w:pPr>
      <w:spacing w:before="100" w:beforeAutospacing="1" w:after="100" w:afterAutospacing="1" w:line="240" w:lineRule="auto"/>
      <w:outlineLvl w:val="3"/>
    </w:pPr>
    <w:rPr>
      <w:rFonts w:ascii="Times New Roman" w:eastAsia="Times New Roman" w:hAnsi="Times New Roman" w:cs="Times New Roman"/>
      <w:b/>
      <w:bCs/>
      <w:sz w:val="24"/>
      <w:szCs w:val="24"/>
    </w:rPr>
  </w:style>
  <w:style w:type="paragraph" w:styleId="Heading5">
    <w:name w:val="heading 5"/>
    <w:basedOn w:val="Normal"/>
    <w:next w:val="Normal"/>
    <w:link w:val="Heading5Char"/>
    <w:uiPriority w:val="9"/>
    <w:unhideWhenUsed/>
    <w:qFormat/>
    <w:rsid w:val="00B90508"/>
    <w:pPr>
      <w:keepNext/>
      <w:keepLines/>
      <w:spacing w:before="40" w:after="0" w:line="276" w:lineRule="auto"/>
      <w:outlineLvl w:val="4"/>
    </w:pPr>
    <w:rPr>
      <w:rFonts w:asciiTheme="majorHAnsi" w:eastAsiaTheme="majorEastAsia" w:hAnsiTheme="majorHAnsi" w:cstheme="majorBidi"/>
      <w:caps/>
      <w:color w:val="2E74B5" w:themeColor="accent1" w:themeShade="BF"/>
    </w:rPr>
  </w:style>
  <w:style w:type="paragraph" w:styleId="Heading6">
    <w:name w:val="heading 6"/>
    <w:basedOn w:val="Normal"/>
    <w:next w:val="Normal"/>
    <w:link w:val="Heading6Char"/>
    <w:uiPriority w:val="9"/>
    <w:unhideWhenUsed/>
    <w:qFormat/>
    <w:rsid w:val="00B90508"/>
    <w:pPr>
      <w:keepNext/>
      <w:keepLines/>
      <w:spacing w:before="40" w:after="0" w:line="276" w:lineRule="auto"/>
      <w:outlineLvl w:val="5"/>
    </w:pPr>
    <w:rPr>
      <w:rFonts w:asciiTheme="majorHAnsi" w:eastAsiaTheme="majorEastAsia" w:hAnsiTheme="majorHAnsi" w:cstheme="majorBidi"/>
      <w:i/>
      <w:iCs/>
      <w:caps/>
      <w:color w:val="1F4E79" w:themeColor="accent1" w:themeShade="80"/>
    </w:rPr>
  </w:style>
  <w:style w:type="paragraph" w:styleId="Heading7">
    <w:name w:val="heading 7"/>
    <w:basedOn w:val="Normal"/>
    <w:next w:val="Normal"/>
    <w:link w:val="Heading7Char"/>
    <w:uiPriority w:val="9"/>
    <w:semiHidden/>
    <w:unhideWhenUsed/>
    <w:qFormat/>
    <w:rsid w:val="00B90508"/>
    <w:pPr>
      <w:keepNext/>
      <w:keepLines/>
      <w:spacing w:before="40" w:after="0" w:line="276" w:lineRule="auto"/>
      <w:outlineLvl w:val="6"/>
    </w:pPr>
    <w:rPr>
      <w:rFonts w:asciiTheme="majorHAnsi" w:eastAsiaTheme="majorEastAsia" w:hAnsiTheme="majorHAnsi" w:cstheme="majorBidi"/>
      <w:b/>
      <w:bCs/>
      <w:color w:val="1F4E79" w:themeColor="accent1" w:themeShade="80"/>
    </w:rPr>
  </w:style>
  <w:style w:type="paragraph" w:styleId="Heading8">
    <w:name w:val="heading 8"/>
    <w:basedOn w:val="Normal"/>
    <w:next w:val="Normal"/>
    <w:link w:val="Heading8Char"/>
    <w:uiPriority w:val="9"/>
    <w:semiHidden/>
    <w:unhideWhenUsed/>
    <w:qFormat/>
    <w:rsid w:val="00B90508"/>
    <w:pPr>
      <w:keepNext/>
      <w:keepLines/>
      <w:spacing w:before="40" w:after="0" w:line="276" w:lineRule="auto"/>
      <w:outlineLvl w:val="7"/>
    </w:pPr>
    <w:rPr>
      <w:rFonts w:asciiTheme="majorHAnsi" w:eastAsiaTheme="majorEastAsia" w:hAnsiTheme="majorHAnsi" w:cstheme="majorBidi"/>
      <w:b/>
      <w:bCs/>
      <w:i/>
      <w:iCs/>
      <w:color w:val="1F4E79" w:themeColor="accent1" w:themeShade="80"/>
    </w:rPr>
  </w:style>
  <w:style w:type="paragraph" w:styleId="Heading9">
    <w:name w:val="heading 9"/>
    <w:basedOn w:val="Normal"/>
    <w:next w:val="Normal"/>
    <w:link w:val="Heading9Char"/>
    <w:uiPriority w:val="9"/>
    <w:semiHidden/>
    <w:unhideWhenUsed/>
    <w:qFormat/>
    <w:rsid w:val="00B90508"/>
    <w:pPr>
      <w:keepNext/>
      <w:keepLines/>
      <w:spacing w:before="40" w:after="0" w:line="276" w:lineRule="auto"/>
      <w:outlineLvl w:val="8"/>
    </w:pPr>
    <w:rPr>
      <w:rFonts w:asciiTheme="majorHAnsi" w:eastAsiaTheme="majorEastAsia" w:hAnsiTheme="majorHAnsi" w:cstheme="majorBidi"/>
      <w:i/>
      <w:iCs/>
      <w:color w:val="1F4E79" w:themeColor="accent1"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8783A"/>
    <w:rPr>
      <w:rFonts w:ascii="Times New Roman" w:eastAsia="Times New Roman" w:hAnsi="Times New Roman" w:cs="Times New Roman"/>
      <w:b/>
      <w:bCs/>
      <w:kern w:val="36"/>
      <w:sz w:val="48"/>
      <w:szCs w:val="48"/>
    </w:rPr>
  </w:style>
  <w:style w:type="character" w:customStyle="1" w:styleId="Heading2Char">
    <w:name w:val="Heading 2 Char"/>
    <w:basedOn w:val="DefaultParagraphFont"/>
    <w:link w:val="Heading2"/>
    <w:uiPriority w:val="9"/>
    <w:rsid w:val="0028783A"/>
    <w:rPr>
      <w:rFonts w:ascii="Times New Roman" w:eastAsia="Times New Roman" w:hAnsi="Times New Roman" w:cs="Times New Roman"/>
      <w:b/>
      <w:bCs/>
      <w:sz w:val="36"/>
      <w:szCs w:val="36"/>
    </w:rPr>
  </w:style>
  <w:style w:type="character" w:customStyle="1" w:styleId="Heading3Char">
    <w:name w:val="Heading 3 Char"/>
    <w:basedOn w:val="DefaultParagraphFont"/>
    <w:link w:val="Heading3"/>
    <w:uiPriority w:val="9"/>
    <w:rsid w:val="0028783A"/>
    <w:rPr>
      <w:rFonts w:ascii="Times New Roman" w:eastAsia="Times New Roman" w:hAnsi="Times New Roman" w:cs="Times New Roman"/>
      <w:b/>
      <w:bCs/>
      <w:sz w:val="27"/>
      <w:szCs w:val="27"/>
    </w:rPr>
  </w:style>
  <w:style w:type="character" w:customStyle="1" w:styleId="Heading4Char">
    <w:name w:val="Heading 4 Char"/>
    <w:basedOn w:val="DefaultParagraphFont"/>
    <w:link w:val="Heading4"/>
    <w:uiPriority w:val="9"/>
    <w:rsid w:val="0028783A"/>
    <w:rPr>
      <w:rFonts w:ascii="Times New Roman" w:eastAsia="Times New Roman" w:hAnsi="Times New Roman" w:cs="Times New Roman"/>
      <w:b/>
      <w:bCs/>
      <w:sz w:val="24"/>
      <w:szCs w:val="24"/>
    </w:rPr>
  </w:style>
  <w:style w:type="paragraph" w:styleId="Header">
    <w:name w:val="header"/>
    <w:basedOn w:val="Normal"/>
    <w:link w:val="HeaderChar"/>
    <w:uiPriority w:val="99"/>
    <w:unhideWhenUsed/>
    <w:rsid w:val="001C4A33"/>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4A33"/>
  </w:style>
  <w:style w:type="paragraph" w:styleId="Footer">
    <w:name w:val="footer"/>
    <w:basedOn w:val="Normal"/>
    <w:link w:val="FooterChar"/>
    <w:uiPriority w:val="99"/>
    <w:unhideWhenUsed/>
    <w:rsid w:val="001C4A33"/>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4A33"/>
  </w:style>
  <w:style w:type="paragraph" w:customStyle="1" w:styleId="coverpagetitle">
    <w:name w:val="coverpagetitle"/>
    <w:basedOn w:val="Normal"/>
    <w:rsid w:val="0028783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instruction">
    <w:name w:val="instruction"/>
    <w:basedOn w:val="Normal"/>
    <w:rsid w:val="0028783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overpagedate">
    <w:name w:val="coverpagedate"/>
    <w:basedOn w:val="Normal"/>
    <w:rsid w:val="0028783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emplate">
    <w:name w:val="template"/>
    <w:basedOn w:val="Normal"/>
    <w:rsid w:val="0028783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mpt">
    <w:name w:val="prompt"/>
    <w:basedOn w:val="Normal"/>
    <w:rsid w:val="0028783A"/>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28783A"/>
  </w:style>
  <w:style w:type="paragraph" w:customStyle="1" w:styleId="subheading">
    <w:name w:val="subheading"/>
    <w:basedOn w:val="Normal"/>
    <w:rsid w:val="0028783A"/>
    <w:pPr>
      <w:spacing w:before="100" w:beforeAutospacing="1" w:after="100" w:afterAutospacing="1" w:line="240" w:lineRule="auto"/>
    </w:pPr>
    <w:rPr>
      <w:rFonts w:ascii="Times New Roman" w:eastAsia="Times New Roman" w:hAnsi="Times New Roman" w:cs="Times New Roman"/>
      <w:sz w:val="24"/>
      <w:szCs w:val="24"/>
    </w:rPr>
  </w:style>
  <w:style w:type="paragraph" w:styleId="NormalWeb">
    <w:name w:val="Normal (Web)"/>
    <w:basedOn w:val="Normal"/>
    <w:uiPriority w:val="99"/>
    <w:semiHidden/>
    <w:unhideWhenUsed/>
    <w:rsid w:val="0028783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small">
    <w:name w:val="small"/>
    <w:basedOn w:val="Normal"/>
    <w:rsid w:val="0028783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tabletext">
    <w:name w:val="tabletext"/>
    <w:basedOn w:val="Normal"/>
    <w:rsid w:val="0028783A"/>
    <w:pPr>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28783A"/>
    <w:rPr>
      <w:color w:val="0000FF"/>
      <w:u w:val="single"/>
    </w:rPr>
  </w:style>
  <w:style w:type="character" w:styleId="FollowedHyperlink">
    <w:name w:val="FollowedHyperlink"/>
    <w:basedOn w:val="DefaultParagraphFont"/>
    <w:uiPriority w:val="99"/>
    <w:semiHidden/>
    <w:unhideWhenUsed/>
    <w:rsid w:val="0028783A"/>
    <w:rPr>
      <w:color w:val="800080"/>
      <w:u w:val="single"/>
    </w:rPr>
  </w:style>
  <w:style w:type="paragraph" w:customStyle="1" w:styleId="break">
    <w:name w:val="break"/>
    <w:basedOn w:val="Normal"/>
    <w:rsid w:val="0028783A"/>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prompttabletext">
    <w:name w:val="prompttabletext"/>
    <w:basedOn w:val="Normal"/>
    <w:rsid w:val="0028783A"/>
    <w:pPr>
      <w:spacing w:before="100" w:beforeAutospacing="1" w:after="100" w:afterAutospacing="1" w:line="240" w:lineRule="auto"/>
    </w:pPr>
    <w:rPr>
      <w:rFonts w:ascii="Times New Roman" w:eastAsia="Times New Roman" w:hAnsi="Times New Roman" w:cs="Times New Roman"/>
      <w:sz w:val="24"/>
      <w:szCs w:val="24"/>
    </w:rPr>
  </w:style>
  <w:style w:type="character" w:styleId="CommentReference">
    <w:name w:val="annotation reference"/>
    <w:basedOn w:val="DefaultParagraphFont"/>
    <w:uiPriority w:val="99"/>
    <w:semiHidden/>
    <w:unhideWhenUsed/>
    <w:rsid w:val="007D6837"/>
    <w:rPr>
      <w:sz w:val="16"/>
      <w:szCs w:val="16"/>
    </w:rPr>
  </w:style>
  <w:style w:type="paragraph" w:styleId="CommentText">
    <w:name w:val="annotation text"/>
    <w:basedOn w:val="Normal"/>
    <w:link w:val="CommentTextChar"/>
    <w:uiPriority w:val="99"/>
    <w:semiHidden/>
    <w:unhideWhenUsed/>
    <w:rsid w:val="007D6837"/>
    <w:pPr>
      <w:spacing w:line="240" w:lineRule="auto"/>
    </w:pPr>
    <w:rPr>
      <w:sz w:val="20"/>
      <w:szCs w:val="20"/>
    </w:rPr>
  </w:style>
  <w:style w:type="character" w:customStyle="1" w:styleId="CommentTextChar">
    <w:name w:val="Comment Text Char"/>
    <w:basedOn w:val="DefaultParagraphFont"/>
    <w:link w:val="CommentText"/>
    <w:uiPriority w:val="99"/>
    <w:semiHidden/>
    <w:rsid w:val="007D6837"/>
    <w:rPr>
      <w:sz w:val="20"/>
      <w:szCs w:val="20"/>
    </w:rPr>
  </w:style>
  <w:style w:type="paragraph" w:styleId="CommentSubject">
    <w:name w:val="annotation subject"/>
    <w:basedOn w:val="CommentText"/>
    <w:next w:val="CommentText"/>
    <w:link w:val="CommentSubjectChar"/>
    <w:uiPriority w:val="99"/>
    <w:semiHidden/>
    <w:unhideWhenUsed/>
    <w:rsid w:val="007D6837"/>
    <w:rPr>
      <w:b/>
      <w:bCs/>
    </w:rPr>
  </w:style>
  <w:style w:type="character" w:customStyle="1" w:styleId="CommentSubjectChar">
    <w:name w:val="Comment Subject Char"/>
    <w:basedOn w:val="CommentTextChar"/>
    <w:link w:val="CommentSubject"/>
    <w:uiPriority w:val="99"/>
    <w:semiHidden/>
    <w:rsid w:val="007D6837"/>
    <w:rPr>
      <w:b/>
      <w:bCs/>
      <w:sz w:val="20"/>
      <w:szCs w:val="20"/>
    </w:rPr>
  </w:style>
  <w:style w:type="paragraph" w:styleId="BalloonText">
    <w:name w:val="Balloon Text"/>
    <w:basedOn w:val="Normal"/>
    <w:link w:val="BalloonTextChar"/>
    <w:uiPriority w:val="99"/>
    <w:semiHidden/>
    <w:unhideWhenUsed/>
    <w:rsid w:val="007D683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7D6837"/>
    <w:rPr>
      <w:rFonts w:ascii="Segoe UI" w:hAnsi="Segoe UI" w:cs="Segoe UI"/>
      <w:sz w:val="18"/>
      <w:szCs w:val="18"/>
    </w:rPr>
  </w:style>
  <w:style w:type="paragraph" w:styleId="TOCHeading">
    <w:name w:val="TOC Heading"/>
    <w:basedOn w:val="Heading1"/>
    <w:next w:val="Normal"/>
    <w:uiPriority w:val="39"/>
    <w:unhideWhenUsed/>
    <w:qFormat/>
    <w:rsid w:val="00B42C57"/>
    <w:pPr>
      <w:keepNext/>
      <w:keepLines/>
      <w:spacing w:before="240" w:beforeAutospacing="0" w:after="0" w:afterAutospacing="0" w:line="259" w:lineRule="auto"/>
      <w:outlineLvl w:val="9"/>
    </w:pPr>
    <w:rPr>
      <w:rFonts w:asciiTheme="majorHAnsi" w:eastAsiaTheme="majorEastAsia" w:hAnsiTheme="majorHAnsi" w:cstheme="majorBidi"/>
      <w:b w:val="0"/>
      <w:bCs w:val="0"/>
      <w:color w:val="2E74B5" w:themeColor="accent1" w:themeShade="BF"/>
      <w:kern w:val="0"/>
      <w:sz w:val="32"/>
      <w:szCs w:val="32"/>
    </w:rPr>
  </w:style>
  <w:style w:type="paragraph" w:styleId="TOC2">
    <w:name w:val="toc 2"/>
    <w:basedOn w:val="Normal"/>
    <w:next w:val="Normal"/>
    <w:autoRedefine/>
    <w:uiPriority w:val="39"/>
    <w:unhideWhenUsed/>
    <w:rsid w:val="00B42C57"/>
    <w:pPr>
      <w:spacing w:after="100"/>
      <w:ind w:left="220"/>
    </w:pPr>
  </w:style>
  <w:style w:type="paragraph" w:styleId="TOC1">
    <w:name w:val="toc 1"/>
    <w:basedOn w:val="Normal"/>
    <w:next w:val="Normal"/>
    <w:autoRedefine/>
    <w:uiPriority w:val="39"/>
    <w:unhideWhenUsed/>
    <w:rsid w:val="001050A0"/>
    <w:pPr>
      <w:tabs>
        <w:tab w:val="right" w:leader="dot" w:pos="12950"/>
      </w:tabs>
      <w:spacing w:after="100"/>
    </w:pPr>
  </w:style>
  <w:style w:type="paragraph" w:styleId="TOC3">
    <w:name w:val="toc 3"/>
    <w:basedOn w:val="Normal"/>
    <w:next w:val="Normal"/>
    <w:autoRedefine/>
    <w:uiPriority w:val="39"/>
    <w:unhideWhenUsed/>
    <w:rsid w:val="00B42C57"/>
    <w:pPr>
      <w:spacing w:after="100"/>
      <w:ind w:left="440"/>
    </w:pPr>
  </w:style>
  <w:style w:type="paragraph" w:styleId="ListParagraph">
    <w:name w:val="List Paragraph"/>
    <w:basedOn w:val="Normal"/>
    <w:uiPriority w:val="34"/>
    <w:qFormat/>
    <w:rsid w:val="00823FF4"/>
    <w:pPr>
      <w:ind w:left="720"/>
      <w:contextualSpacing/>
    </w:pPr>
  </w:style>
  <w:style w:type="table" w:styleId="TableGrid">
    <w:name w:val="Table Grid"/>
    <w:basedOn w:val="TableNormal"/>
    <w:uiPriority w:val="39"/>
    <w:rsid w:val="000F03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E21625"/>
    <w:pPr>
      <w:spacing w:after="200" w:line="240" w:lineRule="auto"/>
    </w:pPr>
    <w:rPr>
      <w:i/>
      <w:iCs/>
      <w:color w:val="44546A" w:themeColor="text2"/>
      <w:sz w:val="18"/>
      <w:szCs w:val="18"/>
    </w:rPr>
  </w:style>
  <w:style w:type="paragraph" w:styleId="Revision">
    <w:name w:val="Revision"/>
    <w:hidden/>
    <w:uiPriority w:val="99"/>
    <w:semiHidden/>
    <w:rsid w:val="00D074BB"/>
    <w:pPr>
      <w:spacing w:after="0" w:line="240" w:lineRule="auto"/>
    </w:pPr>
  </w:style>
  <w:style w:type="character" w:customStyle="1" w:styleId="Heading5Char">
    <w:name w:val="Heading 5 Char"/>
    <w:basedOn w:val="DefaultParagraphFont"/>
    <w:link w:val="Heading5"/>
    <w:uiPriority w:val="9"/>
    <w:rsid w:val="00B90508"/>
    <w:rPr>
      <w:rFonts w:asciiTheme="majorHAnsi" w:eastAsiaTheme="majorEastAsia" w:hAnsiTheme="majorHAnsi" w:cstheme="majorBidi"/>
      <w:caps/>
      <w:color w:val="2E74B5" w:themeColor="accent1" w:themeShade="BF"/>
    </w:rPr>
  </w:style>
  <w:style w:type="character" w:customStyle="1" w:styleId="Heading6Char">
    <w:name w:val="Heading 6 Char"/>
    <w:basedOn w:val="DefaultParagraphFont"/>
    <w:link w:val="Heading6"/>
    <w:uiPriority w:val="9"/>
    <w:rsid w:val="00B90508"/>
    <w:rPr>
      <w:rFonts w:asciiTheme="majorHAnsi" w:eastAsiaTheme="majorEastAsia" w:hAnsiTheme="majorHAnsi" w:cstheme="majorBidi"/>
      <w:i/>
      <w:iCs/>
      <w:caps/>
      <w:color w:val="1F4E79" w:themeColor="accent1" w:themeShade="80"/>
    </w:rPr>
  </w:style>
  <w:style w:type="character" w:customStyle="1" w:styleId="Heading7Char">
    <w:name w:val="Heading 7 Char"/>
    <w:basedOn w:val="DefaultParagraphFont"/>
    <w:link w:val="Heading7"/>
    <w:uiPriority w:val="9"/>
    <w:semiHidden/>
    <w:rsid w:val="00B90508"/>
    <w:rPr>
      <w:rFonts w:asciiTheme="majorHAnsi" w:eastAsiaTheme="majorEastAsia" w:hAnsiTheme="majorHAnsi" w:cstheme="majorBidi"/>
      <w:b/>
      <w:bCs/>
      <w:color w:val="1F4E79" w:themeColor="accent1" w:themeShade="80"/>
    </w:rPr>
  </w:style>
  <w:style w:type="character" w:customStyle="1" w:styleId="Heading8Char">
    <w:name w:val="Heading 8 Char"/>
    <w:basedOn w:val="DefaultParagraphFont"/>
    <w:link w:val="Heading8"/>
    <w:uiPriority w:val="9"/>
    <w:semiHidden/>
    <w:rsid w:val="00B90508"/>
    <w:rPr>
      <w:rFonts w:asciiTheme="majorHAnsi" w:eastAsiaTheme="majorEastAsia" w:hAnsiTheme="majorHAnsi" w:cstheme="majorBidi"/>
      <w:b/>
      <w:bCs/>
      <w:i/>
      <w:iCs/>
      <w:color w:val="1F4E79" w:themeColor="accent1" w:themeShade="80"/>
    </w:rPr>
  </w:style>
  <w:style w:type="character" w:customStyle="1" w:styleId="Heading9Char">
    <w:name w:val="Heading 9 Char"/>
    <w:basedOn w:val="DefaultParagraphFont"/>
    <w:link w:val="Heading9"/>
    <w:uiPriority w:val="9"/>
    <w:semiHidden/>
    <w:rsid w:val="00B90508"/>
    <w:rPr>
      <w:rFonts w:asciiTheme="majorHAnsi" w:eastAsiaTheme="majorEastAsia" w:hAnsiTheme="majorHAnsi" w:cstheme="majorBidi"/>
      <w:i/>
      <w:iCs/>
      <w:color w:val="1F4E79" w:themeColor="accent1" w:themeShade="80"/>
    </w:rPr>
  </w:style>
  <w:style w:type="numbering" w:customStyle="1" w:styleId="NoList1">
    <w:name w:val="No List1"/>
    <w:next w:val="NoList"/>
    <w:uiPriority w:val="99"/>
    <w:semiHidden/>
    <w:unhideWhenUsed/>
    <w:rsid w:val="00B90508"/>
  </w:style>
  <w:style w:type="paragraph" w:styleId="Title">
    <w:name w:val="Title"/>
    <w:basedOn w:val="Normal"/>
    <w:next w:val="Normal"/>
    <w:link w:val="TitleChar"/>
    <w:uiPriority w:val="10"/>
    <w:qFormat/>
    <w:rsid w:val="00B90508"/>
    <w:pPr>
      <w:spacing w:before="2160" w:after="0" w:line="204" w:lineRule="auto"/>
      <w:ind w:left="432" w:right="288"/>
      <w:contextualSpacing/>
    </w:pPr>
    <w:rPr>
      <w:rFonts w:eastAsiaTheme="majorEastAsia" w:cstheme="minorHAnsi"/>
      <w:caps/>
      <w:color w:val="2B5A8E"/>
      <w:spacing w:val="-15"/>
      <w:sz w:val="84"/>
      <w:szCs w:val="84"/>
    </w:rPr>
  </w:style>
  <w:style w:type="character" w:customStyle="1" w:styleId="TitleChar">
    <w:name w:val="Title Char"/>
    <w:basedOn w:val="DefaultParagraphFont"/>
    <w:link w:val="Title"/>
    <w:uiPriority w:val="10"/>
    <w:rsid w:val="00B90508"/>
    <w:rPr>
      <w:rFonts w:eastAsiaTheme="majorEastAsia" w:cstheme="minorHAnsi"/>
      <w:caps/>
      <w:color w:val="2B5A8E"/>
      <w:spacing w:val="-15"/>
      <w:sz w:val="84"/>
      <w:szCs w:val="84"/>
    </w:rPr>
  </w:style>
  <w:style w:type="paragraph" w:styleId="Subtitle">
    <w:name w:val="Subtitle"/>
    <w:basedOn w:val="Normal"/>
    <w:next w:val="Normal"/>
    <w:link w:val="SubtitleChar"/>
    <w:uiPriority w:val="11"/>
    <w:qFormat/>
    <w:rsid w:val="00B90508"/>
    <w:pPr>
      <w:numPr>
        <w:ilvl w:val="1"/>
      </w:numPr>
      <w:spacing w:after="240" w:line="240" w:lineRule="auto"/>
    </w:pPr>
    <w:rPr>
      <w:rFonts w:asciiTheme="majorHAnsi" w:eastAsiaTheme="majorEastAsia" w:hAnsiTheme="majorHAnsi" w:cstheme="majorBidi"/>
      <w:color w:val="5B9BD5" w:themeColor="accent1"/>
      <w:sz w:val="28"/>
      <w:szCs w:val="28"/>
    </w:rPr>
  </w:style>
  <w:style w:type="character" w:customStyle="1" w:styleId="SubtitleChar">
    <w:name w:val="Subtitle Char"/>
    <w:basedOn w:val="DefaultParagraphFont"/>
    <w:link w:val="Subtitle"/>
    <w:uiPriority w:val="11"/>
    <w:rsid w:val="00B90508"/>
    <w:rPr>
      <w:rFonts w:asciiTheme="majorHAnsi" w:eastAsiaTheme="majorEastAsia" w:hAnsiTheme="majorHAnsi" w:cstheme="majorBidi"/>
      <w:color w:val="5B9BD5" w:themeColor="accent1"/>
      <w:sz w:val="28"/>
      <w:szCs w:val="28"/>
    </w:rPr>
  </w:style>
  <w:style w:type="character" w:styleId="Strong">
    <w:name w:val="Strong"/>
    <w:basedOn w:val="DefaultParagraphFont"/>
    <w:uiPriority w:val="22"/>
    <w:qFormat/>
    <w:rsid w:val="00B90508"/>
    <w:rPr>
      <w:b/>
      <w:bCs/>
    </w:rPr>
  </w:style>
  <w:style w:type="character" w:styleId="Emphasis">
    <w:name w:val="Emphasis"/>
    <w:basedOn w:val="DefaultParagraphFont"/>
    <w:uiPriority w:val="20"/>
    <w:qFormat/>
    <w:rsid w:val="00B90508"/>
    <w:rPr>
      <w:i/>
      <w:iCs/>
    </w:rPr>
  </w:style>
  <w:style w:type="paragraph" w:styleId="NoSpacing">
    <w:name w:val="No Spacing"/>
    <w:uiPriority w:val="1"/>
    <w:qFormat/>
    <w:rsid w:val="00B90508"/>
    <w:pPr>
      <w:spacing w:after="0" w:line="240" w:lineRule="auto"/>
    </w:pPr>
    <w:rPr>
      <w:rFonts w:eastAsiaTheme="minorEastAsia"/>
    </w:rPr>
  </w:style>
  <w:style w:type="paragraph" w:styleId="Quote">
    <w:name w:val="Quote"/>
    <w:basedOn w:val="Normal"/>
    <w:next w:val="Normal"/>
    <w:link w:val="QuoteChar"/>
    <w:uiPriority w:val="29"/>
    <w:qFormat/>
    <w:rsid w:val="00B90508"/>
    <w:pPr>
      <w:spacing w:before="120" w:after="120" w:line="276" w:lineRule="auto"/>
      <w:ind w:left="720"/>
    </w:pPr>
    <w:rPr>
      <w:rFonts w:eastAsiaTheme="minorEastAsia"/>
      <w:color w:val="44546A" w:themeColor="text2"/>
      <w:sz w:val="24"/>
      <w:szCs w:val="24"/>
    </w:rPr>
  </w:style>
  <w:style w:type="character" w:customStyle="1" w:styleId="QuoteChar">
    <w:name w:val="Quote Char"/>
    <w:basedOn w:val="DefaultParagraphFont"/>
    <w:link w:val="Quote"/>
    <w:uiPriority w:val="29"/>
    <w:rsid w:val="00B90508"/>
    <w:rPr>
      <w:rFonts w:eastAsiaTheme="minorEastAsia"/>
      <w:color w:val="44546A" w:themeColor="text2"/>
      <w:sz w:val="24"/>
      <w:szCs w:val="24"/>
    </w:rPr>
  </w:style>
  <w:style w:type="paragraph" w:styleId="IntenseQuote">
    <w:name w:val="Intense Quote"/>
    <w:basedOn w:val="Normal"/>
    <w:next w:val="Normal"/>
    <w:link w:val="IntenseQuoteChar"/>
    <w:uiPriority w:val="30"/>
    <w:qFormat/>
    <w:rsid w:val="00B90508"/>
    <w:pPr>
      <w:spacing w:before="100" w:beforeAutospacing="1" w:after="240" w:line="240" w:lineRule="auto"/>
      <w:ind w:left="720"/>
      <w:jc w:val="center"/>
    </w:pPr>
    <w:rPr>
      <w:rFonts w:asciiTheme="majorHAnsi" w:eastAsiaTheme="majorEastAsia" w:hAnsiTheme="majorHAnsi" w:cstheme="majorBidi"/>
      <w:color w:val="44546A" w:themeColor="text2"/>
      <w:spacing w:val="-6"/>
      <w:sz w:val="32"/>
      <w:szCs w:val="32"/>
    </w:rPr>
  </w:style>
  <w:style w:type="character" w:customStyle="1" w:styleId="IntenseQuoteChar">
    <w:name w:val="Intense Quote Char"/>
    <w:basedOn w:val="DefaultParagraphFont"/>
    <w:link w:val="IntenseQuote"/>
    <w:uiPriority w:val="30"/>
    <w:rsid w:val="00B90508"/>
    <w:rPr>
      <w:rFonts w:asciiTheme="majorHAnsi" w:eastAsiaTheme="majorEastAsia" w:hAnsiTheme="majorHAnsi" w:cstheme="majorBidi"/>
      <w:color w:val="44546A" w:themeColor="text2"/>
      <w:spacing w:val="-6"/>
      <w:sz w:val="32"/>
      <w:szCs w:val="32"/>
    </w:rPr>
  </w:style>
  <w:style w:type="paragraph" w:customStyle="1" w:styleId="TableColumnHeading">
    <w:name w:val="Table Column Heading"/>
    <w:basedOn w:val="Normal"/>
    <w:qFormat/>
    <w:rsid w:val="00B90508"/>
    <w:pPr>
      <w:spacing w:after="0" w:line="240" w:lineRule="auto"/>
      <w:jc w:val="center"/>
    </w:pPr>
    <w:rPr>
      <w:rFonts w:eastAsiaTheme="minorEastAsia"/>
      <w:b/>
      <w:sz w:val="20"/>
      <w:szCs w:val="20"/>
    </w:rPr>
  </w:style>
  <w:style w:type="character" w:styleId="IntenseEmphasis">
    <w:name w:val="Intense Emphasis"/>
    <w:basedOn w:val="DefaultParagraphFont"/>
    <w:uiPriority w:val="21"/>
    <w:qFormat/>
    <w:rsid w:val="00B90508"/>
    <w:rPr>
      <w:b/>
      <w:bCs/>
      <w:i/>
      <w:iCs/>
      <w:color w:val="2E74B5" w:themeColor="accent1" w:themeShade="BF"/>
    </w:rPr>
  </w:style>
  <w:style w:type="paragraph" w:customStyle="1" w:styleId="TableCaption">
    <w:name w:val="Table Caption"/>
    <w:basedOn w:val="Normal"/>
    <w:qFormat/>
    <w:rsid w:val="00B90508"/>
    <w:pPr>
      <w:spacing w:before="80" w:after="300" w:line="240" w:lineRule="auto"/>
    </w:pPr>
    <w:rPr>
      <w:rFonts w:ascii="Calibri" w:eastAsia="Calibri" w:hAnsi="Calibri" w:cs="Calibri"/>
      <w:sz w:val="16"/>
      <w:szCs w:val="18"/>
    </w:rPr>
  </w:style>
  <w:style w:type="character" w:styleId="IntenseReference">
    <w:name w:val="Intense Reference"/>
    <w:basedOn w:val="DefaultParagraphFont"/>
    <w:uiPriority w:val="32"/>
    <w:qFormat/>
    <w:rsid w:val="00B90508"/>
    <w:rPr>
      <w:b/>
      <w:bCs/>
      <w:smallCaps/>
      <w:color w:val="44546A" w:themeColor="text2"/>
      <w:u w:val="single"/>
    </w:rPr>
  </w:style>
  <w:style w:type="paragraph" w:customStyle="1" w:styleId="TableText0">
    <w:name w:val="Table Text"/>
    <w:basedOn w:val="Normal"/>
    <w:qFormat/>
    <w:rsid w:val="00B90508"/>
    <w:pPr>
      <w:spacing w:after="0" w:line="240" w:lineRule="auto"/>
    </w:pPr>
    <w:rPr>
      <w:rFonts w:eastAsiaTheme="minorEastAsia"/>
      <w:sz w:val="20"/>
      <w:szCs w:val="20"/>
    </w:rPr>
  </w:style>
  <w:style w:type="paragraph" w:customStyle="1" w:styleId="FigureTitle">
    <w:name w:val="Figure Title"/>
    <w:basedOn w:val="Normal"/>
    <w:qFormat/>
    <w:rsid w:val="00B90508"/>
    <w:pPr>
      <w:spacing w:before="100" w:after="300" w:line="276" w:lineRule="auto"/>
      <w:jc w:val="center"/>
    </w:pPr>
    <w:rPr>
      <w:rFonts w:ascii="Calibri" w:eastAsia="Calibri" w:hAnsi="Calibri" w:cs="Calibri"/>
      <w:b/>
      <w:sz w:val="18"/>
    </w:rPr>
  </w:style>
  <w:style w:type="paragraph" w:customStyle="1" w:styleId="TableTitle">
    <w:name w:val="Table Title"/>
    <w:basedOn w:val="FigureTitle"/>
    <w:qFormat/>
    <w:rsid w:val="00B90508"/>
    <w:pPr>
      <w:keepNext/>
      <w:spacing w:after="100"/>
    </w:pPr>
  </w:style>
  <w:style w:type="table" w:customStyle="1" w:styleId="TableGrid1">
    <w:name w:val="Table Grid1"/>
    <w:basedOn w:val="TableNormal"/>
    <w:next w:val="TableGrid"/>
    <w:uiPriority w:val="39"/>
    <w:rsid w:val="00B90508"/>
    <w:pPr>
      <w:spacing w:after="0" w:line="240" w:lineRule="auto"/>
    </w:pPr>
    <w:rPr>
      <w:rFonts w:eastAsiaTheme="minorEastAsi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Bullet">
    <w:name w:val="Table Bullet"/>
    <w:basedOn w:val="ListParagraph"/>
    <w:qFormat/>
    <w:rsid w:val="00B90508"/>
    <w:pPr>
      <w:numPr>
        <w:numId w:val="45"/>
      </w:numPr>
      <w:spacing w:after="0" w:line="276" w:lineRule="auto"/>
      <w:ind w:left="358" w:hanging="286"/>
    </w:pPr>
    <w:rPr>
      <w:rFonts w:eastAsiaTheme="minorEastAsia"/>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3767521">
      <w:bodyDiv w:val="1"/>
      <w:marLeft w:val="0"/>
      <w:marRight w:val="0"/>
      <w:marTop w:val="0"/>
      <w:marBottom w:val="0"/>
      <w:divBdr>
        <w:top w:val="none" w:sz="0" w:space="0" w:color="auto"/>
        <w:left w:val="none" w:sz="0" w:space="0" w:color="auto"/>
        <w:bottom w:val="none" w:sz="0" w:space="0" w:color="auto"/>
        <w:right w:val="none" w:sz="0" w:space="0" w:color="auto"/>
      </w:divBdr>
      <w:divsChild>
        <w:div w:id="1211460646">
          <w:marLeft w:val="1166"/>
          <w:marRight w:val="0"/>
          <w:marTop w:val="96"/>
          <w:marBottom w:val="0"/>
          <w:divBdr>
            <w:top w:val="none" w:sz="0" w:space="0" w:color="auto"/>
            <w:left w:val="none" w:sz="0" w:space="0" w:color="auto"/>
            <w:bottom w:val="none" w:sz="0" w:space="0" w:color="auto"/>
            <w:right w:val="none" w:sz="0" w:space="0" w:color="auto"/>
          </w:divBdr>
        </w:div>
      </w:divsChild>
    </w:div>
    <w:div w:id="191499288">
      <w:bodyDiv w:val="1"/>
      <w:marLeft w:val="0"/>
      <w:marRight w:val="0"/>
      <w:marTop w:val="0"/>
      <w:marBottom w:val="0"/>
      <w:divBdr>
        <w:top w:val="none" w:sz="0" w:space="0" w:color="auto"/>
        <w:left w:val="none" w:sz="0" w:space="0" w:color="auto"/>
        <w:bottom w:val="none" w:sz="0" w:space="0" w:color="auto"/>
        <w:right w:val="none" w:sz="0" w:space="0" w:color="auto"/>
      </w:divBdr>
      <w:divsChild>
        <w:div w:id="943919256">
          <w:marLeft w:val="1166"/>
          <w:marRight w:val="0"/>
          <w:marTop w:val="101"/>
          <w:marBottom w:val="0"/>
          <w:divBdr>
            <w:top w:val="none" w:sz="0" w:space="0" w:color="auto"/>
            <w:left w:val="none" w:sz="0" w:space="0" w:color="auto"/>
            <w:bottom w:val="none" w:sz="0" w:space="0" w:color="auto"/>
            <w:right w:val="none" w:sz="0" w:space="0" w:color="auto"/>
          </w:divBdr>
        </w:div>
        <w:div w:id="835803202">
          <w:marLeft w:val="1166"/>
          <w:marRight w:val="0"/>
          <w:marTop w:val="101"/>
          <w:marBottom w:val="0"/>
          <w:divBdr>
            <w:top w:val="none" w:sz="0" w:space="0" w:color="auto"/>
            <w:left w:val="none" w:sz="0" w:space="0" w:color="auto"/>
            <w:bottom w:val="none" w:sz="0" w:space="0" w:color="auto"/>
            <w:right w:val="none" w:sz="0" w:space="0" w:color="auto"/>
          </w:divBdr>
        </w:div>
      </w:divsChild>
    </w:div>
    <w:div w:id="209461866">
      <w:bodyDiv w:val="1"/>
      <w:marLeft w:val="0"/>
      <w:marRight w:val="0"/>
      <w:marTop w:val="0"/>
      <w:marBottom w:val="0"/>
      <w:divBdr>
        <w:top w:val="none" w:sz="0" w:space="0" w:color="auto"/>
        <w:left w:val="none" w:sz="0" w:space="0" w:color="auto"/>
        <w:bottom w:val="none" w:sz="0" w:space="0" w:color="auto"/>
        <w:right w:val="none" w:sz="0" w:space="0" w:color="auto"/>
      </w:divBdr>
      <w:divsChild>
        <w:div w:id="2022732758">
          <w:marLeft w:val="0"/>
          <w:marRight w:val="0"/>
          <w:marTop w:val="0"/>
          <w:marBottom w:val="0"/>
          <w:divBdr>
            <w:top w:val="none" w:sz="0" w:space="0" w:color="auto"/>
            <w:left w:val="none" w:sz="0" w:space="0" w:color="auto"/>
            <w:bottom w:val="none" w:sz="0" w:space="0" w:color="auto"/>
            <w:right w:val="none" w:sz="0" w:space="0" w:color="auto"/>
          </w:divBdr>
        </w:div>
        <w:div w:id="161162722">
          <w:marLeft w:val="0"/>
          <w:marRight w:val="0"/>
          <w:marTop w:val="0"/>
          <w:marBottom w:val="0"/>
          <w:divBdr>
            <w:top w:val="none" w:sz="0" w:space="0" w:color="auto"/>
            <w:left w:val="none" w:sz="0" w:space="0" w:color="auto"/>
            <w:bottom w:val="none" w:sz="0" w:space="0" w:color="auto"/>
            <w:right w:val="none" w:sz="0" w:space="0" w:color="auto"/>
          </w:divBdr>
        </w:div>
        <w:div w:id="1868981446">
          <w:marLeft w:val="0"/>
          <w:marRight w:val="0"/>
          <w:marTop w:val="0"/>
          <w:marBottom w:val="0"/>
          <w:divBdr>
            <w:top w:val="none" w:sz="0" w:space="0" w:color="auto"/>
            <w:left w:val="none" w:sz="0" w:space="0" w:color="auto"/>
            <w:bottom w:val="none" w:sz="0" w:space="0" w:color="auto"/>
            <w:right w:val="none" w:sz="0" w:space="0" w:color="auto"/>
          </w:divBdr>
        </w:div>
        <w:div w:id="884757832">
          <w:marLeft w:val="0"/>
          <w:marRight w:val="0"/>
          <w:marTop w:val="0"/>
          <w:marBottom w:val="0"/>
          <w:divBdr>
            <w:top w:val="none" w:sz="0" w:space="0" w:color="auto"/>
            <w:left w:val="none" w:sz="0" w:space="0" w:color="auto"/>
            <w:bottom w:val="none" w:sz="0" w:space="0" w:color="auto"/>
            <w:right w:val="none" w:sz="0" w:space="0" w:color="auto"/>
          </w:divBdr>
        </w:div>
        <w:div w:id="1170801301">
          <w:marLeft w:val="0"/>
          <w:marRight w:val="0"/>
          <w:marTop w:val="0"/>
          <w:marBottom w:val="0"/>
          <w:divBdr>
            <w:top w:val="none" w:sz="0" w:space="0" w:color="auto"/>
            <w:left w:val="none" w:sz="0" w:space="0" w:color="auto"/>
            <w:bottom w:val="none" w:sz="0" w:space="0" w:color="auto"/>
            <w:right w:val="none" w:sz="0" w:space="0" w:color="auto"/>
          </w:divBdr>
        </w:div>
        <w:div w:id="62066885">
          <w:marLeft w:val="0"/>
          <w:marRight w:val="0"/>
          <w:marTop w:val="0"/>
          <w:marBottom w:val="0"/>
          <w:divBdr>
            <w:top w:val="none" w:sz="0" w:space="0" w:color="auto"/>
            <w:left w:val="none" w:sz="0" w:space="0" w:color="auto"/>
            <w:bottom w:val="none" w:sz="0" w:space="0" w:color="auto"/>
            <w:right w:val="none" w:sz="0" w:space="0" w:color="auto"/>
          </w:divBdr>
        </w:div>
        <w:div w:id="1414427579">
          <w:marLeft w:val="0"/>
          <w:marRight w:val="0"/>
          <w:marTop w:val="0"/>
          <w:marBottom w:val="0"/>
          <w:divBdr>
            <w:top w:val="none" w:sz="0" w:space="0" w:color="auto"/>
            <w:left w:val="none" w:sz="0" w:space="0" w:color="auto"/>
            <w:bottom w:val="none" w:sz="0" w:space="0" w:color="auto"/>
            <w:right w:val="none" w:sz="0" w:space="0" w:color="auto"/>
          </w:divBdr>
        </w:div>
        <w:div w:id="1910187897">
          <w:marLeft w:val="0"/>
          <w:marRight w:val="0"/>
          <w:marTop w:val="0"/>
          <w:marBottom w:val="0"/>
          <w:divBdr>
            <w:top w:val="none" w:sz="0" w:space="0" w:color="auto"/>
            <w:left w:val="none" w:sz="0" w:space="0" w:color="auto"/>
            <w:bottom w:val="none" w:sz="0" w:space="0" w:color="auto"/>
            <w:right w:val="none" w:sz="0" w:space="0" w:color="auto"/>
          </w:divBdr>
        </w:div>
        <w:div w:id="1799494070">
          <w:marLeft w:val="0"/>
          <w:marRight w:val="0"/>
          <w:marTop w:val="0"/>
          <w:marBottom w:val="0"/>
          <w:divBdr>
            <w:top w:val="none" w:sz="0" w:space="0" w:color="auto"/>
            <w:left w:val="none" w:sz="0" w:space="0" w:color="auto"/>
            <w:bottom w:val="none" w:sz="0" w:space="0" w:color="auto"/>
            <w:right w:val="none" w:sz="0" w:space="0" w:color="auto"/>
          </w:divBdr>
        </w:div>
        <w:div w:id="1596090361">
          <w:marLeft w:val="0"/>
          <w:marRight w:val="0"/>
          <w:marTop w:val="0"/>
          <w:marBottom w:val="0"/>
          <w:divBdr>
            <w:top w:val="none" w:sz="0" w:space="0" w:color="auto"/>
            <w:left w:val="none" w:sz="0" w:space="0" w:color="auto"/>
            <w:bottom w:val="none" w:sz="0" w:space="0" w:color="auto"/>
            <w:right w:val="none" w:sz="0" w:space="0" w:color="auto"/>
          </w:divBdr>
        </w:div>
        <w:div w:id="1822652543">
          <w:marLeft w:val="0"/>
          <w:marRight w:val="0"/>
          <w:marTop w:val="0"/>
          <w:marBottom w:val="0"/>
          <w:divBdr>
            <w:top w:val="none" w:sz="0" w:space="0" w:color="auto"/>
            <w:left w:val="none" w:sz="0" w:space="0" w:color="auto"/>
            <w:bottom w:val="none" w:sz="0" w:space="0" w:color="auto"/>
            <w:right w:val="none" w:sz="0" w:space="0" w:color="auto"/>
          </w:divBdr>
        </w:div>
        <w:div w:id="1153526793">
          <w:marLeft w:val="0"/>
          <w:marRight w:val="0"/>
          <w:marTop w:val="0"/>
          <w:marBottom w:val="0"/>
          <w:divBdr>
            <w:top w:val="none" w:sz="0" w:space="0" w:color="auto"/>
            <w:left w:val="none" w:sz="0" w:space="0" w:color="auto"/>
            <w:bottom w:val="none" w:sz="0" w:space="0" w:color="auto"/>
            <w:right w:val="none" w:sz="0" w:space="0" w:color="auto"/>
          </w:divBdr>
        </w:div>
        <w:div w:id="779686014">
          <w:marLeft w:val="0"/>
          <w:marRight w:val="0"/>
          <w:marTop w:val="0"/>
          <w:marBottom w:val="0"/>
          <w:divBdr>
            <w:top w:val="none" w:sz="0" w:space="0" w:color="auto"/>
            <w:left w:val="none" w:sz="0" w:space="0" w:color="auto"/>
            <w:bottom w:val="none" w:sz="0" w:space="0" w:color="auto"/>
            <w:right w:val="none" w:sz="0" w:space="0" w:color="auto"/>
          </w:divBdr>
        </w:div>
        <w:div w:id="843394842">
          <w:marLeft w:val="0"/>
          <w:marRight w:val="0"/>
          <w:marTop w:val="0"/>
          <w:marBottom w:val="0"/>
          <w:divBdr>
            <w:top w:val="none" w:sz="0" w:space="0" w:color="auto"/>
            <w:left w:val="none" w:sz="0" w:space="0" w:color="auto"/>
            <w:bottom w:val="none" w:sz="0" w:space="0" w:color="auto"/>
            <w:right w:val="none" w:sz="0" w:space="0" w:color="auto"/>
          </w:divBdr>
        </w:div>
        <w:div w:id="455687229">
          <w:marLeft w:val="0"/>
          <w:marRight w:val="0"/>
          <w:marTop w:val="0"/>
          <w:marBottom w:val="0"/>
          <w:divBdr>
            <w:top w:val="none" w:sz="0" w:space="0" w:color="auto"/>
            <w:left w:val="none" w:sz="0" w:space="0" w:color="auto"/>
            <w:bottom w:val="none" w:sz="0" w:space="0" w:color="auto"/>
            <w:right w:val="none" w:sz="0" w:space="0" w:color="auto"/>
          </w:divBdr>
        </w:div>
        <w:div w:id="218517976">
          <w:marLeft w:val="0"/>
          <w:marRight w:val="0"/>
          <w:marTop w:val="0"/>
          <w:marBottom w:val="0"/>
          <w:divBdr>
            <w:top w:val="none" w:sz="0" w:space="0" w:color="auto"/>
            <w:left w:val="none" w:sz="0" w:space="0" w:color="auto"/>
            <w:bottom w:val="none" w:sz="0" w:space="0" w:color="auto"/>
            <w:right w:val="none" w:sz="0" w:space="0" w:color="auto"/>
          </w:divBdr>
        </w:div>
        <w:div w:id="1921789229">
          <w:marLeft w:val="0"/>
          <w:marRight w:val="0"/>
          <w:marTop w:val="0"/>
          <w:marBottom w:val="0"/>
          <w:divBdr>
            <w:top w:val="none" w:sz="0" w:space="0" w:color="auto"/>
            <w:left w:val="none" w:sz="0" w:space="0" w:color="auto"/>
            <w:bottom w:val="none" w:sz="0" w:space="0" w:color="auto"/>
            <w:right w:val="none" w:sz="0" w:space="0" w:color="auto"/>
          </w:divBdr>
        </w:div>
        <w:div w:id="595675990">
          <w:marLeft w:val="0"/>
          <w:marRight w:val="0"/>
          <w:marTop w:val="0"/>
          <w:marBottom w:val="0"/>
          <w:divBdr>
            <w:top w:val="none" w:sz="0" w:space="0" w:color="auto"/>
            <w:left w:val="none" w:sz="0" w:space="0" w:color="auto"/>
            <w:bottom w:val="none" w:sz="0" w:space="0" w:color="auto"/>
            <w:right w:val="none" w:sz="0" w:space="0" w:color="auto"/>
          </w:divBdr>
        </w:div>
        <w:div w:id="1153370660">
          <w:marLeft w:val="0"/>
          <w:marRight w:val="0"/>
          <w:marTop w:val="0"/>
          <w:marBottom w:val="0"/>
          <w:divBdr>
            <w:top w:val="none" w:sz="0" w:space="0" w:color="auto"/>
            <w:left w:val="none" w:sz="0" w:space="0" w:color="auto"/>
            <w:bottom w:val="none" w:sz="0" w:space="0" w:color="auto"/>
            <w:right w:val="none" w:sz="0" w:space="0" w:color="auto"/>
          </w:divBdr>
        </w:div>
        <w:div w:id="519466156">
          <w:marLeft w:val="0"/>
          <w:marRight w:val="0"/>
          <w:marTop w:val="0"/>
          <w:marBottom w:val="0"/>
          <w:divBdr>
            <w:top w:val="none" w:sz="0" w:space="0" w:color="auto"/>
            <w:left w:val="none" w:sz="0" w:space="0" w:color="auto"/>
            <w:bottom w:val="none" w:sz="0" w:space="0" w:color="auto"/>
            <w:right w:val="none" w:sz="0" w:space="0" w:color="auto"/>
          </w:divBdr>
        </w:div>
        <w:div w:id="658776731">
          <w:marLeft w:val="0"/>
          <w:marRight w:val="0"/>
          <w:marTop w:val="0"/>
          <w:marBottom w:val="0"/>
          <w:divBdr>
            <w:top w:val="none" w:sz="0" w:space="0" w:color="auto"/>
            <w:left w:val="none" w:sz="0" w:space="0" w:color="auto"/>
            <w:bottom w:val="none" w:sz="0" w:space="0" w:color="auto"/>
            <w:right w:val="none" w:sz="0" w:space="0" w:color="auto"/>
          </w:divBdr>
        </w:div>
        <w:div w:id="431584578">
          <w:marLeft w:val="0"/>
          <w:marRight w:val="0"/>
          <w:marTop w:val="0"/>
          <w:marBottom w:val="0"/>
          <w:divBdr>
            <w:top w:val="none" w:sz="0" w:space="0" w:color="auto"/>
            <w:left w:val="none" w:sz="0" w:space="0" w:color="auto"/>
            <w:bottom w:val="none" w:sz="0" w:space="0" w:color="auto"/>
            <w:right w:val="none" w:sz="0" w:space="0" w:color="auto"/>
          </w:divBdr>
        </w:div>
        <w:div w:id="474104185">
          <w:marLeft w:val="0"/>
          <w:marRight w:val="0"/>
          <w:marTop w:val="0"/>
          <w:marBottom w:val="0"/>
          <w:divBdr>
            <w:top w:val="none" w:sz="0" w:space="0" w:color="auto"/>
            <w:left w:val="none" w:sz="0" w:space="0" w:color="auto"/>
            <w:bottom w:val="none" w:sz="0" w:space="0" w:color="auto"/>
            <w:right w:val="none" w:sz="0" w:space="0" w:color="auto"/>
          </w:divBdr>
        </w:div>
        <w:div w:id="1484618014">
          <w:marLeft w:val="0"/>
          <w:marRight w:val="0"/>
          <w:marTop w:val="0"/>
          <w:marBottom w:val="0"/>
          <w:divBdr>
            <w:top w:val="none" w:sz="0" w:space="0" w:color="auto"/>
            <w:left w:val="none" w:sz="0" w:space="0" w:color="auto"/>
            <w:bottom w:val="none" w:sz="0" w:space="0" w:color="auto"/>
            <w:right w:val="none" w:sz="0" w:space="0" w:color="auto"/>
          </w:divBdr>
        </w:div>
        <w:div w:id="721103238">
          <w:marLeft w:val="0"/>
          <w:marRight w:val="0"/>
          <w:marTop w:val="0"/>
          <w:marBottom w:val="0"/>
          <w:divBdr>
            <w:top w:val="none" w:sz="0" w:space="0" w:color="auto"/>
            <w:left w:val="none" w:sz="0" w:space="0" w:color="auto"/>
            <w:bottom w:val="none" w:sz="0" w:space="0" w:color="auto"/>
            <w:right w:val="none" w:sz="0" w:space="0" w:color="auto"/>
          </w:divBdr>
        </w:div>
        <w:div w:id="423652877">
          <w:marLeft w:val="0"/>
          <w:marRight w:val="0"/>
          <w:marTop w:val="0"/>
          <w:marBottom w:val="0"/>
          <w:divBdr>
            <w:top w:val="none" w:sz="0" w:space="0" w:color="auto"/>
            <w:left w:val="none" w:sz="0" w:space="0" w:color="auto"/>
            <w:bottom w:val="none" w:sz="0" w:space="0" w:color="auto"/>
            <w:right w:val="none" w:sz="0" w:space="0" w:color="auto"/>
          </w:divBdr>
        </w:div>
        <w:div w:id="74792019">
          <w:marLeft w:val="0"/>
          <w:marRight w:val="0"/>
          <w:marTop w:val="0"/>
          <w:marBottom w:val="0"/>
          <w:divBdr>
            <w:top w:val="none" w:sz="0" w:space="0" w:color="auto"/>
            <w:left w:val="none" w:sz="0" w:space="0" w:color="auto"/>
            <w:bottom w:val="none" w:sz="0" w:space="0" w:color="auto"/>
            <w:right w:val="none" w:sz="0" w:space="0" w:color="auto"/>
          </w:divBdr>
        </w:div>
        <w:div w:id="1324239156">
          <w:marLeft w:val="0"/>
          <w:marRight w:val="0"/>
          <w:marTop w:val="0"/>
          <w:marBottom w:val="0"/>
          <w:divBdr>
            <w:top w:val="none" w:sz="0" w:space="0" w:color="auto"/>
            <w:left w:val="none" w:sz="0" w:space="0" w:color="auto"/>
            <w:bottom w:val="none" w:sz="0" w:space="0" w:color="auto"/>
            <w:right w:val="none" w:sz="0" w:space="0" w:color="auto"/>
          </w:divBdr>
        </w:div>
        <w:div w:id="1691300958">
          <w:marLeft w:val="0"/>
          <w:marRight w:val="0"/>
          <w:marTop w:val="0"/>
          <w:marBottom w:val="0"/>
          <w:divBdr>
            <w:top w:val="none" w:sz="0" w:space="0" w:color="auto"/>
            <w:left w:val="none" w:sz="0" w:space="0" w:color="auto"/>
            <w:bottom w:val="none" w:sz="0" w:space="0" w:color="auto"/>
            <w:right w:val="none" w:sz="0" w:space="0" w:color="auto"/>
          </w:divBdr>
        </w:div>
        <w:div w:id="301469625">
          <w:marLeft w:val="0"/>
          <w:marRight w:val="0"/>
          <w:marTop w:val="0"/>
          <w:marBottom w:val="0"/>
          <w:divBdr>
            <w:top w:val="none" w:sz="0" w:space="0" w:color="auto"/>
            <w:left w:val="none" w:sz="0" w:space="0" w:color="auto"/>
            <w:bottom w:val="none" w:sz="0" w:space="0" w:color="auto"/>
            <w:right w:val="none" w:sz="0" w:space="0" w:color="auto"/>
          </w:divBdr>
        </w:div>
        <w:div w:id="1070154238">
          <w:marLeft w:val="0"/>
          <w:marRight w:val="0"/>
          <w:marTop w:val="0"/>
          <w:marBottom w:val="0"/>
          <w:divBdr>
            <w:top w:val="none" w:sz="0" w:space="0" w:color="auto"/>
            <w:left w:val="none" w:sz="0" w:space="0" w:color="auto"/>
            <w:bottom w:val="none" w:sz="0" w:space="0" w:color="auto"/>
            <w:right w:val="none" w:sz="0" w:space="0" w:color="auto"/>
          </w:divBdr>
        </w:div>
        <w:div w:id="991834910">
          <w:marLeft w:val="0"/>
          <w:marRight w:val="0"/>
          <w:marTop w:val="0"/>
          <w:marBottom w:val="0"/>
          <w:divBdr>
            <w:top w:val="none" w:sz="0" w:space="0" w:color="auto"/>
            <w:left w:val="none" w:sz="0" w:space="0" w:color="auto"/>
            <w:bottom w:val="none" w:sz="0" w:space="0" w:color="auto"/>
            <w:right w:val="none" w:sz="0" w:space="0" w:color="auto"/>
          </w:divBdr>
        </w:div>
        <w:div w:id="508326547">
          <w:marLeft w:val="0"/>
          <w:marRight w:val="0"/>
          <w:marTop w:val="0"/>
          <w:marBottom w:val="0"/>
          <w:divBdr>
            <w:top w:val="none" w:sz="0" w:space="0" w:color="auto"/>
            <w:left w:val="none" w:sz="0" w:space="0" w:color="auto"/>
            <w:bottom w:val="none" w:sz="0" w:space="0" w:color="auto"/>
            <w:right w:val="none" w:sz="0" w:space="0" w:color="auto"/>
          </w:divBdr>
        </w:div>
        <w:div w:id="410156706">
          <w:marLeft w:val="0"/>
          <w:marRight w:val="0"/>
          <w:marTop w:val="0"/>
          <w:marBottom w:val="0"/>
          <w:divBdr>
            <w:top w:val="none" w:sz="0" w:space="0" w:color="auto"/>
            <w:left w:val="none" w:sz="0" w:space="0" w:color="auto"/>
            <w:bottom w:val="none" w:sz="0" w:space="0" w:color="auto"/>
            <w:right w:val="none" w:sz="0" w:space="0" w:color="auto"/>
          </w:divBdr>
        </w:div>
        <w:div w:id="1271429149">
          <w:marLeft w:val="0"/>
          <w:marRight w:val="0"/>
          <w:marTop w:val="0"/>
          <w:marBottom w:val="0"/>
          <w:divBdr>
            <w:top w:val="none" w:sz="0" w:space="0" w:color="auto"/>
            <w:left w:val="none" w:sz="0" w:space="0" w:color="auto"/>
            <w:bottom w:val="none" w:sz="0" w:space="0" w:color="auto"/>
            <w:right w:val="none" w:sz="0" w:space="0" w:color="auto"/>
          </w:divBdr>
        </w:div>
        <w:div w:id="380056135">
          <w:marLeft w:val="0"/>
          <w:marRight w:val="0"/>
          <w:marTop w:val="0"/>
          <w:marBottom w:val="0"/>
          <w:divBdr>
            <w:top w:val="none" w:sz="0" w:space="0" w:color="auto"/>
            <w:left w:val="none" w:sz="0" w:space="0" w:color="auto"/>
            <w:bottom w:val="none" w:sz="0" w:space="0" w:color="auto"/>
            <w:right w:val="none" w:sz="0" w:space="0" w:color="auto"/>
          </w:divBdr>
        </w:div>
        <w:div w:id="1861117711">
          <w:marLeft w:val="0"/>
          <w:marRight w:val="0"/>
          <w:marTop w:val="0"/>
          <w:marBottom w:val="0"/>
          <w:divBdr>
            <w:top w:val="none" w:sz="0" w:space="0" w:color="auto"/>
            <w:left w:val="none" w:sz="0" w:space="0" w:color="auto"/>
            <w:bottom w:val="none" w:sz="0" w:space="0" w:color="auto"/>
            <w:right w:val="none" w:sz="0" w:space="0" w:color="auto"/>
          </w:divBdr>
        </w:div>
        <w:div w:id="1280524424">
          <w:marLeft w:val="0"/>
          <w:marRight w:val="0"/>
          <w:marTop w:val="0"/>
          <w:marBottom w:val="0"/>
          <w:divBdr>
            <w:top w:val="none" w:sz="0" w:space="0" w:color="auto"/>
            <w:left w:val="none" w:sz="0" w:space="0" w:color="auto"/>
            <w:bottom w:val="none" w:sz="0" w:space="0" w:color="auto"/>
            <w:right w:val="none" w:sz="0" w:space="0" w:color="auto"/>
          </w:divBdr>
        </w:div>
        <w:div w:id="1277760182">
          <w:marLeft w:val="0"/>
          <w:marRight w:val="0"/>
          <w:marTop w:val="0"/>
          <w:marBottom w:val="0"/>
          <w:divBdr>
            <w:top w:val="none" w:sz="0" w:space="0" w:color="auto"/>
            <w:left w:val="none" w:sz="0" w:space="0" w:color="auto"/>
            <w:bottom w:val="none" w:sz="0" w:space="0" w:color="auto"/>
            <w:right w:val="none" w:sz="0" w:space="0" w:color="auto"/>
          </w:divBdr>
        </w:div>
        <w:div w:id="1571233817">
          <w:marLeft w:val="0"/>
          <w:marRight w:val="0"/>
          <w:marTop w:val="0"/>
          <w:marBottom w:val="0"/>
          <w:divBdr>
            <w:top w:val="none" w:sz="0" w:space="0" w:color="auto"/>
            <w:left w:val="none" w:sz="0" w:space="0" w:color="auto"/>
            <w:bottom w:val="none" w:sz="0" w:space="0" w:color="auto"/>
            <w:right w:val="none" w:sz="0" w:space="0" w:color="auto"/>
          </w:divBdr>
        </w:div>
        <w:div w:id="1987930919">
          <w:marLeft w:val="0"/>
          <w:marRight w:val="0"/>
          <w:marTop w:val="0"/>
          <w:marBottom w:val="0"/>
          <w:divBdr>
            <w:top w:val="none" w:sz="0" w:space="0" w:color="auto"/>
            <w:left w:val="none" w:sz="0" w:space="0" w:color="auto"/>
            <w:bottom w:val="none" w:sz="0" w:space="0" w:color="auto"/>
            <w:right w:val="none" w:sz="0" w:space="0" w:color="auto"/>
          </w:divBdr>
        </w:div>
        <w:div w:id="1383169297">
          <w:marLeft w:val="0"/>
          <w:marRight w:val="0"/>
          <w:marTop w:val="0"/>
          <w:marBottom w:val="0"/>
          <w:divBdr>
            <w:top w:val="none" w:sz="0" w:space="0" w:color="auto"/>
            <w:left w:val="none" w:sz="0" w:space="0" w:color="auto"/>
            <w:bottom w:val="none" w:sz="0" w:space="0" w:color="auto"/>
            <w:right w:val="none" w:sz="0" w:space="0" w:color="auto"/>
          </w:divBdr>
        </w:div>
        <w:div w:id="522135291">
          <w:marLeft w:val="0"/>
          <w:marRight w:val="0"/>
          <w:marTop w:val="0"/>
          <w:marBottom w:val="0"/>
          <w:divBdr>
            <w:top w:val="none" w:sz="0" w:space="0" w:color="auto"/>
            <w:left w:val="none" w:sz="0" w:space="0" w:color="auto"/>
            <w:bottom w:val="none" w:sz="0" w:space="0" w:color="auto"/>
            <w:right w:val="none" w:sz="0" w:space="0" w:color="auto"/>
          </w:divBdr>
        </w:div>
        <w:div w:id="48965435">
          <w:marLeft w:val="0"/>
          <w:marRight w:val="0"/>
          <w:marTop w:val="0"/>
          <w:marBottom w:val="0"/>
          <w:divBdr>
            <w:top w:val="none" w:sz="0" w:space="0" w:color="auto"/>
            <w:left w:val="none" w:sz="0" w:space="0" w:color="auto"/>
            <w:bottom w:val="none" w:sz="0" w:space="0" w:color="auto"/>
            <w:right w:val="none" w:sz="0" w:space="0" w:color="auto"/>
          </w:divBdr>
        </w:div>
        <w:div w:id="109671152">
          <w:marLeft w:val="0"/>
          <w:marRight w:val="0"/>
          <w:marTop w:val="0"/>
          <w:marBottom w:val="0"/>
          <w:divBdr>
            <w:top w:val="none" w:sz="0" w:space="0" w:color="auto"/>
            <w:left w:val="none" w:sz="0" w:space="0" w:color="auto"/>
            <w:bottom w:val="none" w:sz="0" w:space="0" w:color="auto"/>
            <w:right w:val="none" w:sz="0" w:space="0" w:color="auto"/>
          </w:divBdr>
        </w:div>
        <w:div w:id="429352686">
          <w:marLeft w:val="0"/>
          <w:marRight w:val="0"/>
          <w:marTop w:val="0"/>
          <w:marBottom w:val="0"/>
          <w:divBdr>
            <w:top w:val="none" w:sz="0" w:space="0" w:color="auto"/>
            <w:left w:val="none" w:sz="0" w:space="0" w:color="auto"/>
            <w:bottom w:val="none" w:sz="0" w:space="0" w:color="auto"/>
            <w:right w:val="none" w:sz="0" w:space="0" w:color="auto"/>
          </w:divBdr>
        </w:div>
        <w:div w:id="1879538385">
          <w:marLeft w:val="0"/>
          <w:marRight w:val="0"/>
          <w:marTop w:val="0"/>
          <w:marBottom w:val="0"/>
          <w:divBdr>
            <w:top w:val="none" w:sz="0" w:space="0" w:color="auto"/>
            <w:left w:val="none" w:sz="0" w:space="0" w:color="auto"/>
            <w:bottom w:val="none" w:sz="0" w:space="0" w:color="auto"/>
            <w:right w:val="none" w:sz="0" w:space="0" w:color="auto"/>
          </w:divBdr>
        </w:div>
        <w:div w:id="1466695849">
          <w:marLeft w:val="0"/>
          <w:marRight w:val="0"/>
          <w:marTop w:val="0"/>
          <w:marBottom w:val="0"/>
          <w:divBdr>
            <w:top w:val="none" w:sz="0" w:space="0" w:color="auto"/>
            <w:left w:val="none" w:sz="0" w:space="0" w:color="auto"/>
            <w:bottom w:val="none" w:sz="0" w:space="0" w:color="auto"/>
            <w:right w:val="none" w:sz="0" w:space="0" w:color="auto"/>
          </w:divBdr>
        </w:div>
        <w:div w:id="1275595762">
          <w:marLeft w:val="0"/>
          <w:marRight w:val="0"/>
          <w:marTop w:val="0"/>
          <w:marBottom w:val="0"/>
          <w:divBdr>
            <w:top w:val="none" w:sz="0" w:space="0" w:color="auto"/>
            <w:left w:val="none" w:sz="0" w:space="0" w:color="auto"/>
            <w:bottom w:val="none" w:sz="0" w:space="0" w:color="auto"/>
            <w:right w:val="none" w:sz="0" w:space="0" w:color="auto"/>
          </w:divBdr>
        </w:div>
        <w:div w:id="1079256466">
          <w:marLeft w:val="0"/>
          <w:marRight w:val="0"/>
          <w:marTop w:val="0"/>
          <w:marBottom w:val="0"/>
          <w:divBdr>
            <w:top w:val="none" w:sz="0" w:space="0" w:color="auto"/>
            <w:left w:val="none" w:sz="0" w:space="0" w:color="auto"/>
            <w:bottom w:val="none" w:sz="0" w:space="0" w:color="auto"/>
            <w:right w:val="none" w:sz="0" w:space="0" w:color="auto"/>
          </w:divBdr>
        </w:div>
        <w:div w:id="1926455121">
          <w:marLeft w:val="0"/>
          <w:marRight w:val="0"/>
          <w:marTop w:val="0"/>
          <w:marBottom w:val="0"/>
          <w:divBdr>
            <w:top w:val="none" w:sz="0" w:space="0" w:color="auto"/>
            <w:left w:val="none" w:sz="0" w:space="0" w:color="auto"/>
            <w:bottom w:val="none" w:sz="0" w:space="0" w:color="auto"/>
            <w:right w:val="none" w:sz="0" w:space="0" w:color="auto"/>
          </w:divBdr>
        </w:div>
        <w:div w:id="1529445315">
          <w:marLeft w:val="0"/>
          <w:marRight w:val="0"/>
          <w:marTop w:val="0"/>
          <w:marBottom w:val="0"/>
          <w:divBdr>
            <w:top w:val="none" w:sz="0" w:space="0" w:color="auto"/>
            <w:left w:val="none" w:sz="0" w:space="0" w:color="auto"/>
            <w:bottom w:val="none" w:sz="0" w:space="0" w:color="auto"/>
            <w:right w:val="none" w:sz="0" w:space="0" w:color="auto"/>
          </w:divBdr>
        </w:div>
        <w:div w:id="162626788">
          <w:marLeft w:val="0"/>
          <w:marRight w:val="0"/>
          <w:marTop w:val="0"/>
          <w:marBottom w:val="0"/>
          <w:divBdr>
            <w:top w:val="none" w:sz="0" w:space="0" w:color="auto"/>
            <w:left w:val="none" w:sz="0" w:space="0" w:color="auto"/>
            <w:bottom w:val="none" w:sz="0" w:space="0" w:color="auto"/>
            <w:right w:val="none" w:sz="0" w:space="0" w:color="auto"/>
          </w:divBdr>
        </w:div>
        <w:div w:id="1625425660">
          <w:marLeft w:val="0"/>
          <w:marRight w:val="0"/>
          <w:marTop w:val="0"/>
          <w:marBottom w:val="0"/>
          <w:divBdr>
            <w:top w:val="none" w:sz="0" w:space="0" w:color="auto"/>
            <w:left w:val="none" w:sz="0" w:space="0" w:color="auto"/>
            <w:bottom w:val="none" w:sz="0" w:space="0" w:color="auto"/>
            <w:right w:val="none" w:sz="0" w:space="0" w:color="auto"/>
          </w:divBdr>
        </w:div>
        <w:div w:id="132721751">
          <w:marLeft w:val="0"/>
          <w:marRight w:val="0"/>
          <w:marTop w:val="0"/>
          <w:marBottom w:val="0"/>
          <w:divBdr>
            <w:top w:val="none" w:sz="0" w:space="0" w:color="auto"/>
            <w:left w:val="none" w:sz="0" w:space="0" w:color="auto"/>
            <w:bottom w:val="none" w:sz="0" w:space="0" w:color="auto"/>
            <w:right w:val="none" w:sz="0" w:space="0" w:color="auto"/>
          </w:divBdr>
        </w:div>
        <w:div w:id="669143293">
          <w:marLeft w:val="0"/>
          <w:marRight w:val="0"/>
          <w:marTop w:val="0"/>
          <w:marBottom w:val="0"/>
          <w:divBdr>
            <w:top w:val="none" w:sz="0" w:space="0" w:color="auto"/>
            <w:left w:val="none" w:sz="0" w:space="0" w:color="auto"/>
            <w:bottom w:val="none" w:sz="0" w:space="0" w:color="auto"/>
            <w:right w:val="none" w:sz="0" w:space="0" w:color="auto"/>
          </w:divBdr>
        </w:div>
        <w:div w:id="274019645">
          <w:marLeft w:val="0"/>
          <w:marRight w:val="0"/>
          <w:marTop w:val="0"/>
          <w:marBottom w:val="0"/>
          <w:divBdr>
            <w:top w:val="none" w:sz="0" w:space="0" w:color="auto"/>
            <w:left w:val="none" w:sz="0" w:space="0" w:color="auto"/>
            <w:bottom w:val="none" w:sz="0" w:space="0" w:color="auto"/>
            <w:right w:val="none" w:sz="0" w:space="0" w:color="auto"/>
          </w:divBdr>
        </w:div>
        <w:div w:id="1792896869">
          <w:marLeft w:val="0"/>
          <w:marRight w:val="0"/>
          <w:marTop w:val="0"/>
          <w:marBottom w:val="0"/>
          <w:divBdr>
            <w:top w:val="none" w:sz="0" w:space="0" w:color="auto"/>
            <w:left w:val="none" w:sz="0" w:space="0" w:color="auto"/>
            <w:bottom w:val="none" w:sz="0" w:space="0" w:color="auto"/>
            <w:right w:val="none" w:sz="0" w:space="0" w:color="auto"/>
          </w:divBdr>
        </w:div>
        <w:div w:id="737827092">
          <w:marLeft w:val="0"/>
          <w:marRight w:val="0"/>
          <w:marTop w:val="0"/>
          <w:marBottom w:val="0"/>
          <w:divBdr>
            <w:top w:val="none" w:sz="0" w:space="0" w:color="auto"/>
            <w:left w:val="none" w:sz="0" w:space="0" w:color="auto"/>
            <w:bottom w:val="none" w:sz="0" w:space="0" w:color="auto"/>
            <w:right w:val="none" w:sz="0" w:space="0" w:color="auto"/>
          </w:divBdr>
        </w:div>
        <w:div w:id="147944320">
          <w:marLeft w:val="0"/>
          <w:marRight w:val="0"/>
          <w:marTop w:val="0"/>
          <w:marBottom w:val="0"/>
          <w:divBdr>
            <w:top w:val="none" w:sz="0" w:space="0" w:color="auto"/>
            <w:left w:val="none" w:sz="0" w:space="0" w:color="auto"/>
            <w:bottom w:val="none" w:sz="0" w:space="0" w:color="auto"/>
            <w:right w:val="none" w:sz="0" w:space="0" w:color="auto"/>
          </w:divBdr>
        </w:div>
        <w:div w:id="642657000">
          <w:marLeft w:val="0"/>
          <w:marRight w:val="0"/>
          <w:marTop w:val="0"/>
          <w:marBottom w:val="0"/>
          <w:divBdr>
            <w:top w:val="none" w:sz="0" w:space="0" w:color="auto"/>
            <w:left w:val="none" w:sz="0" w:space="0" w:color="auto"/>
            <w:bottom w:val="none" w:sz="0" w:space="0" w:color="auto"/>
            <w:right w:val="none" w:sz="0" w:space="0" w:color="auto"/>
          </w:divBdr>
        </w:div>
        <w:div w:id="643970870">
          <w:marLeft w:val="0"/>
          <w:marRight w:val="0"/>
          <w:marTop w:val="0"/>
          <w:marBottom w:val="0"/>
          <w:divBdr>
            <w:top w:val="none" w:sz="0" w:space="0" w:color="auto"/>
            <w:left w:val="none" w:sz="0" w:space="0" w:color="auto"/>
            <w:bottom w:val="none" w:sz="0" w:space="0" w:color="auto"/>
            <w:right w:val="none" w:sz="0" w:space="0" w:color="auto"/>
          </w:divBdr>
        </w:div>
        <w:div w:id="541600694">
          <w:marLeft w:val="0"/>
          <w:marRight w:val="0"/>
          <w:marTop w:val="0"/>
          <w:marBottom w:val="0"/>
          <w:divBdr>
            <w:top w:val="none" w:sz="0" w:space="0" w:color="auto"/>
            <w:left w:val="none" w:sz="0" w:space="0" w:color="auto"/>
            <w:bottom w:val="none" w:sz="0" w:space="0" w:color="auto"/>
            <w:right w:val="none" w:sz="0" w:space="0" w:color="auto"/>
          </w:divBdr>
        </w:div>
        <w:div w:id="1983853495">
          <w:marLeft w:val="0"/>
          <w:marRight w:val="0"/>
          <w:marTop w:val="0"/>
          <w:marBottom w:val="0"/>
          <w:divBdr>
            <w:top w:val="none" w:sz="0" w:space="0" w:color="auto"/>
            <w:left w:val="none" w:sz="0" w:space="0" w:color="auto"/>
            <w:bottom w:val="none" w:sz="0" w:space="0" w:color="auto"/>
            <w:right w:val="none" w:sz="0" w:space="0" w:color="auto"/>
          </w:divBdr>
        </w:div>
      </w:divsChild>
    </w:div>
    <w:div w:id="214004756">
      <w:bodyDiv w:val="1"/>
      <w:marLeft w:val="0"/>
      <w:marRight w:val="0"/>
      <w:marTop w:val="0"/>
      <w:marBottom w:val="0"/>
      <w:divBdr>
        <w:top w:val="none" w:sz="0" w:space="0" w:color="auto"/>
        <w:left w:val="none" w:sz="0" w:space="0" w:color="auto"/>
        <w:bottom w:val="none" w:sz="0" w:space="0" w:color="auto"/>
        <w:right w:val="none" w:sz="0" w:space="0" w:color="auto"/>
      </w:divBdr>
      <w:divsChild>
        <w:div w:id="774597603">
          <w:marLeft w:val="1166"/>
          <w:marRight w:val="0"/>
          <w:marTop w:val="106"/>
          <w:marBottom w:val="0"/>
          <w:divBdr>
            <w:top w:val="none" w:sz="0" w:space="0" w:color="auto"/>
            <w:left w:val="none" w:sz="0" w:space="0" w:color="auto"/>
            <w:bottom w:val="none" w:sz="0" w:space="0" w:color="auto"/>
            <w:right w:val="none" w:sz="0" w:space="0" w:color="auto"/>
          </w:divBdr>
        </w:div>
        <w:div w:id="1628854391">
          <w:marLeft w:val="1166"/>
          <w:marRight w:val="0"/>
          <w:marTop w:val="106"/>
          <w:marBottom w:val="0"/>
          <w:divBdr>
            <w:top w:val="none" w:sz="0" w:space="0" w:color="auto"/>
            <w:left w:val="none" w:sz="0" w:space="0" w:color="auto"/>
            <w:bottom w:val="none" w:sz="0" w:space="0" w:color="auto"/>
            <w:right w:val="none" w:sz="0" w:space="0" w:color="auto"/>
          </w:divBdr>
        </w:div>
        <w:div w:id="1541087565">
          <w:marLeft w:val="1166"/>
          <w:marRight w:val="0"/>
          <w:marTop w:val="106"/>
          <w:marBottom w:val="0"/>
          <w:divBdr>
            <w:top w:val="none" w:sz="0" w:space="0" w:color="auto"/>
            <w:left w:val="none" w:sz="0" w:space="0" w:color="auto"/>
            <w:bottom w:val="none" w:sz="0" w:space="0" w:color="auto"/>
            <w:right w:val="none" w:sz="0" w:space="0" w:color="auto"/>
          </w:divBdr>
        </w:div>
      </w:divsChild>
    </w:div>
    <w:div w:id="470367372">
      <w:bodyDiv w:val="1"/>
      <w:marLeft w:val="0"/>
      <w:marRight w:val="0"/>
      <w:marTop w:val="0"/>
      <w:marBottom w:val="0"/>
      <w:divBdr>
        <w:top w:val="none" w:sz="0" w:space="0" w:color="auto"/>
        <w:left w:val="none" w:sz="0" w:space="0" w:color="auto"/>
        <w:bottom w:val="none" w:sz="0" w:space="0" w:color="auto"/>
        <w:right w:val="none" w:sz="0" w:space="0" w:color="auto"/>
      </w:divBdr>
      <w:divsChild>
        <w:div w:id="531067282">
          <w:marLeft w:val="1166"/>
          <w:marRight w:val="0"/>
          <w:marTop w:val="106"/>
          <w:marBottom w:val="0"/>
          <w:divBdr>
            <w:top w:val="none" w:sz="0" w:space="0" w:color="auto"/>
            <w:left w:val="none" w:sz="0" w:space="0" w:color="auto"/>
            <w:bottom w:val="none" w:sz="0" w:space="0" w:color="auto"/>
            <w:right w:val="none" w:sz="0" w:space="0" w:color="auto"/>
          </w:divBdr>
        </w:div>
      </w:divsChild>
    </w:div>
    <w:div w:id="485054057">
      <w:bodyDiv w:val="1"/>
      <w:marLeft w:val="0"/>
      <w:marRight w:val="0"/>
      <w:marTop w:val="0"/>
      <w:marBottom w:val="0"/>
      <w:divBdr>
        <w:top w:val="none" w:sz="0" w:space="0" w:color="auto"/>
        <w:left w:val="none" w:sz="0" w:space="0" w:color="auto"/>
        <w:bottom w:val="none" w:sz="0" w:space="0" w:color="auto"/>
        <w:right w:val="none" w:sz="0" w:space="0" w:color="auto"/>
      </w:divBdr>
      <w:divsChild>
        <w:div w:id="1843737813">
          <w:marLeft w:val="0"/>
          <w:marRight w:val="0"/>
          <w:marTop w:val="0"/>
          <w:marBottom w:val="0"/>
          <w:divBdr>
            <w:top w:val="none" w:sz="0" w:space="0" w:color="auto"/>
            <w:left w:val="none" w:sz="0" w:space="0" w:color="auto"/>
            <w:bottom w:val="none" w:sz="0" w:space="0" w:color="auto"/>
            <w:right w:val="none" w:sz="0" w:space="0" w:color="auto"/>
          </w:divBdr>
        </w:div>
        <w:div w:id="1594819048">
          <w:marLeft w:val="0"/>
          <w:marRight w:val="0"/>
          <w:marTop w:val="0"/>
          <w:marBottom w:val="0"/>
          <w:divBdr>
            <w:top w:val="none" w:sz="0" w:space="0" w:color="auto"/>
            <w:left w:val="none" w:sz="0" w:space="0" w:color="auto"/>
            <w:bottom w:val="none" w:sz="0" w:space="0" w:color="auto"/>
            <w:right w:val="none" w:sz="0" w:space="0" w:color="auto"/>
          </w:divBdr>
        </w:div>
      </w:divsChild>
    </w:div>
    <w:div w:id="544105143">
      <w:bodyDiv w:val="1"/>
      <w:marLeft w:val="0"/>
      <w:marRight w:val="0"/>
      <w:marTop w:val="0"/>
      <w:marBottom w:val="0"/>
      <w:divBdr>
        <w:top w:val="none" w:sz="0" w:space="0" w:color="auto"/>
        <w:left w:val="none" w:sz="0" w:space="0" w:color="auto"/>
        <w:bottom w:val="none" w:sz="0" w:space="0" w:color="auto"/>
        <w:right w:val="none" w:sz="0" w:space="0" w:color="auto"/>
      </w:divBdr>
      <w:divsChild>
        <w:div w:id="2026442556">
          <w:marLeft w:val="1166"/>
          <w:marRight w:val="0"/>
          <w:marTop w:val="96"/>
          <w:marBottom w:val="0"/>
          <w:divBdr>
            <w:top w:val="none" w:sz="0" w:space="0" w:color="auto"/>
            <w:left w:val="none" w:sz="0" w:space="0" w:color="auto"/>
            <w:bottom w:val="none" w:sz="0" w:space="0" w:color="auto"/>
            <w:right w:val="none" w:sz="0" w:space="0" w:color="auto"/>
          </w:divBdr>
        </w:div>
        <w:div w:id="5639583">
          <w:marLeft w:val="1166"/>
          <w:marRight w:val="0"/>
          <w:marTop w:val="96"/>
          <w:marBottom w:val="0"/>
          <w:divBdr>
            <w:top w:val="none" w:sz="0" w:space="0" w:color="auto"/>
            <w:left w:val="none" w:sz="0" w:space="0" w:color="auto"/>
            <w:bottom w:val="none" w:sz="0" w:space="0" w:color="auto"/>
            <w:right w:val="none" w:sz="0" w:space="0" w:color="auto"/>
          </w:divBdr>
        </w:div>
      </w:divsChild>
    </w:div>
    <w:div w:id="698045571">
      <w:bodyDiv w:val="1"/>
      <w:marLeft w:val="0"/>
      <w:marRight w:val="0"/>
      <w:marTop w:val="0"/>
      <w:marBottom w:val="0"/>
      <w:divBdr>
        <w:top w:val="none" w:sz="0" w:space="0" w:color="auto"/>
        <w:left w:val="none" w:sz="0" w:space="0" w:color="auto"/>
        <w:bottom w:val="none" w:sz="0" w:space="0" w:color="auto"/>
        <w:right w:val="none" w:sz="0" w:space="0" w:color="auto"/>
      </w:divBdr>
      <w:divsChild>
        <w:div w:id="2073000890">
          <w:marLeft w:val="1166"/>
          <w:marRight w:val="0"/>
          <w:marTop w:val="96"/>
          <w:marBottom w:val="0"/>
          <w:divBdr>
            <w:top w:val="none" w:sz="0" w:space="0" w:color="auto"/>
            <w:left w:val="none" w:sz="0" w:space="0" w:color="auto"/>
            <w:bottom w:val="none" w:sz="0" w:space="0" w:color="auto"/>
            <w:right w:val="none" w:sz="0" w:space="0" w:color="auto"/>
          </w:divBdr>
        </w:div>
      </w:divsChild>
    </w:div>
    <w:div w:id="704871316">
      <w:bodyDiv w:val="1"/>
      <w:marLeft w:val="0"/>
      <w:marRight w:val="0"/>
      <w:marTop w:val="0"/>
      <w:marBottom w:val="0"/>
      <w:divBdr>
        <w:top w:val="none" w:sz="0" w:space="0" w:color="auto"/>
        <w:left w:val="none" w:sz="0" w:space="0" w:color="auto"/>
        <w:bottom w:val="none" w:sz="0" w:space="0" w:color="auto"/>
        <w:right w:val="none" w:sz="0" w:space="0" w:color="auto"/>
      </w:divBdr>
    </w:div>
    <w:div w:id="730617502">
      <w:bodyDiv w:val="1"/>
      <w:marLeft w:val="0"/>
      <w:marRight w:val="0"/>
      <w:marTop w:val="0"/>
      <w:marBottom w:val="0"/>
      <w:divBdr>
        <w:top w:val="none" w:sz="0" w:space="0" w:color="auto"/>
        <w:left w:val="none" w:sz="0" w:space="0" w:color="auto"/>
        <w:bottom w:val="none" w:sz="0" w:space="0" w:color="auto"/>
        <w:right w:val="none" w:sz="0" w:space="0" w:color="auto"/>
      </w:divBdr>
      <w:divsChild>
        <w:div w:id="1302232467">
          <w:marLeft w:val="0"/>
          <w:marRight w:val="0"/>
          <w:marTop w:val="0"/>
          <w:marBottom w:val="0"/>
          <w:divBdr>
            <w:top w:val="none" w:sz="0" w:space="0" w:color="auto"/>
            <w:left w:val="none" w:sz="0" w:space="0" w:color="auto"/>
            <w:bottom w:val="none" w:sz="0" w:space="0" w:color="auto"/>
            <w:right w:val="none" w:sz="0" w:space="0" w:color="auto"/>
          </w:divBdr>
        </w:div>
        <w:div w:id="446660337">
          <w:marLeft w:val="0"/>
          <w:marRight w:val="0"/>
          <w:marTop w:val="0"/>
          <w:marBottom w:val="0"/>
          <w:divBdr>
            <w:top w:val="none" w:sz="0" w:space="0" w:color="auto"/>
            <w:left w:val="none" w:sz="0" w:space="0" w:color="auto"/>
            <w:bottom w:val="none" w:sz="0" w:space="0" w:color="auto"/>
            <w:right w:val="none" w:sz="0" w:space="0" w:color="auto"/>
          </w:divBdr>
        </w:div>
      </w:divsChild>
    </w:div>
    <w:div w:id="908537977">
      <w:bodyDiv w:val="1"/>
      <w:marLeft w:val="0"/>
      <w:marRight w:val="0"/>
      <w:marTop w:val="0"/>
      <w:marBottom w:val="0"/>
      <w:divBdr>
        <w:top w:val="none" w:sz="0" w:space="0" w:color="auto"/>
        <w:left w:val="none" w:sz="0" w:space="0" w:color="auto"/>
        <w:bottom w:val="none" w:sz="0" w:space="0" w:color="auto"/>
        <w:right w:val="none" w:sz="0" w:space="0" w:color="auto"/>
      </w:divBdr>
      <w:divsChild>
        <w:div w:id="1973246146">
          <w:marLeft w:val="1166"/>
          <w:marRight w:val="0"/>
          <w:marTop w:val="96"/>
          <w:marBottom w:val="0"/>
          <w:divBdr>
            <w:top w:val="none" w:sz="0" w:space="0" w:color="auto"/>
            <w:left w:val="none" w:sz="0" w:space="0" w:color="auto"/>
            <w:bottom w:val="none" w:sz="0" w:space="0" w:color="auto"/>
            <w:right w:val="none" w:sz="0" w:space="0" w:color="auto"/>
          </w:divBdr>
        </w:div>
      </w:divsChild>
    </w:div>
    <w:div w:id="953486945">
      <w:bodyDiv w:val="1"/>
      <w:marLeft w:val="0"/>
      <w:marRight w:val="0"/>
      <w:marTop w:val="0"/>
      <w:marBottom w:val="0"/>
      <w:divBdr>
        <w:top w:val="none" w:sz="0" w:space="0" w:color="auto"/>
        <w:left w:val="none" w:sz="0" w:space="0" w:color="auto"/>
        <w:bottom w:val="none" w:sz="0" w:space="0" w:color="auto"/>
        <w:right w:val="none" w:sz="0" w:space="0" w:color="auto"/>
      </w:divBdr>
      <w:divsChild>
        <w:div w:id="1498230218">
          <w:marLeft w:val="547"/>
          <w:marRight w:val="0"/>
          <w:marTop w:val="125"/>
          <w:marBottom w:val="0"/>
          <w:divBdr>
            <w:top w:val="none" w:sz="0" w:space="0" w:color="auto"/>
            <w:left w:val="none" w:sz="0" w:space="0" w:color="auto"/>
            <w:bottom w:val="none" w:sz="0" w:space="0" w:color="auto"/>
            <w:right w:val="none" w:sz="0" w:space="0" w:color="auto"/>
          </w:divBdr>
        </w:div>
      </w:divsChild>
    </w:div>
    <w:div w:id="1032653313">
      <w:bodyDiv w:val="1"/>
      <w:marLeft w:val="0"/>
      <w:marRight w:val="0"/>
      <w:marTop w:val="0"/>
      <w:marBottom w:val="0"/>
      <w:divBdr>
        <w:top w:val="none" w:sz="0" w:space="0" w:color="auto"/>
        <w:left w:val="none" w:sz="0" w:space="0" w:color="auto"/>
        <w:bottom w:val="none" w:sz="0" w:space="0" w:color="auto"/>
        <w:right w:val="none" w:sz="0" w:space="0" w:color="auto"/>
      </w:divBdr>
      <w:divsChild>
        <w:div w:id="488399226">
          <w:marLeft w:val="1166"/>
          <w:marRight w:val="0"/>
          <w:marTop w:val="115"/>
          <w:marBottom w:val="0"/>
          <w:divBdr>
            <w:top w:val="none" w:sz="0" w:space="0" w:color="auto"/>
            <w:left w:val="none" w:sz="0" w:space="0" w:color="auto"/>
            <w:bottom w:val="none" w:sz="0" w:space="0" w:color="auto"/>
            <w:right w:val="none" w:sz="0" w:space="0" w:color="auto"/>
          </w:divBdr>
        </w:div>
      </w:divsChild>
    </w:div>
    <w:div w:id="1033723850">
      <w:bodyDiv w:val="1"/>
      <w:marLeft w:val="0"/>
      <w:marRight w:val="0"/>
      <w:marTop w:val="0"/>
      <w:marBottom w:val="0"/>
      <w:divBdr>
        <w:top w:val="none" w:sz="0" w:space="0" w:color="auto"/>
        <w:left w:val="none" w:sz="0" w:space="0" w:color="auto"/>
        <w:bottom w:val="none" w:sz="0" w:space="0" w:color="auto"/>
        <w:right w:val="none" w:sz="0" w:space="0" w:color="auto"/>
      </w:divBdr>
    </w:div>
    <w:div w:id="1093279162">
      <w:bodyDiv w:val="1"/>
      <w:marLeft w:val="0"/>
      <w:marRight w:val="0"/>
      <w:marTop w:val="0"/>
      <w:marBottom w:val="0"/>
      <w:divBdr>
        <w:top w:val="none" w:sz="0" w:space="0" w:color="auto"/>
        <w:left w:val="none" w:sz="0" w:space="0" w:color="auto"/>
        <w:bottom w:val="none" w:sz="0" w:space="0" w:color="auto"/>
        <w:right w:val="none" w:sz="0" w:space="0" w:color="auto"/>
      </w:divBdr>
      <w:divsChild>
        <w:div w:id="611667010">
          <w:marLeft w:val="0"/>
          <w:marRight w:val="0"/>
          <w:marTop w:val="0"/>
          <w:marBottom w:val="0"/>
          <w:divBdr>
            <w:top w:val="none" w:sz="0" w:space="0" w:color="auto"/>
            <w:left w:val="none" w:sz="0" w:space="0" w:color="auto"/>
            <w:bottom w:val="none" w:sz="0" w:space="0" w:color="auto"/>
            <w:right w:val="none" w:sz="0" w:space="0" w:color="auto"/>
          </w:divBdr>
        </w:div>
        <w:div w:id="244268205">
          <w:marLeft w:val="0"/>
          <w:marRight w:val="0"/>
          <w:marTop w:val="0"/>
          <w:marBottom w:val="0"/>
          <w:divBdr>
            <w:top w:val="none" w:sz="0" w:space="0" w:color="auto"/>
            <w:left w:val="none" w:sz="0" w:space="0" w:color="auto"/>
            <w:bottom w:val="none" w:sz="0" w:space="0" w:color="auto"/>
            <w:right w:val="none" w:sz="0" w:space="0" w:color="auto"/>
          </w:divBdr>
        </w:div>
      </w:divsChild>
    </w:div>
    <w:div w:id="1129469598">
      <w:bodyDiv w:val="1"/>
      <w:marLeft w:val="0"/>
      <w:marRight w:val="0"/>
      <w:marTop w:val="0"/>
      <w:marBottom w:val="0"/>
      <w:divBdr>
        <w:top w:val="none" w:sz="0" w:space="0" w:color="auto"/>
        <w:left w:val="none" w:sz="0" w:space="0" w:color="auto"/>
        <w:bottom w:val="none" w:sz="0" w:space="0" w:color="auto"/>
        <w:right w:val="none" w:sz="0" w:space="0" w:color="auto"/>
      </w:divBdr>
      <w:divsChild>
        <w:div w:id="232469516">
          <w:marLeft w:val="1166"/>
          <w:marRight w:val="0"/>
          <w:marTop w:val="96"/>
          <w:marBottom w:val="0"/>
          <w:divBdr>
            <w:top w:val="none" w:sz="0" w:space="0" w:color="auto"/>
            <w:left w:val="none" w:sz="0" w:space="0" w:color="auto"/>
            <w:bottom w:val="none" w:sz="0" w:space="0" w:color="auto"/>
            <w:right w:val="none" w:sz="0" w:space="0" w:color="auto"/>
          </w:divBdr>
        </w:div>
      </w:divsChild>
    </w:div>
    <w:div w:id="1148934034">
      <w:bodyDiv w:val="1"/>
      <w:marLeft w:val="0"/>
      <w:marRight w:val="0"/>
      <w:marTop w:val="0"/>
      <w:marBottom w:val="0"/>
      <w:divBdr>
        <w:top w:val="none" w:sz="0" w:space="0" w:color="auto"/>
        <w:left w:val="none" w:sz="0" w:space="0" w:color="auto"/>
        <w:bottom w:val="none" w:sz="0" w:space="0" w:color="auto"/>
        <w:right w:val="none" w:sz="0" w:space="0" w:color="auto"/>
      </w:divBdr>
    </w:div>
    <w:div w:id="1245913815">
      <w:bodyDiv w:val="1"/>
      <w:marLeft w:val="0"/>
      <w:marRight w:val="0"/>
      <w:marTop w:val="0"/>
      <w:marBottom w:val="0"/>
      <w:divBdr>
        <w:top w:val="none" w:sz="0" w:space="0" w:color="auto"/>
        <w:left w:val="none" w:sz="0" w:space="0" w:color="auto"/>
        <w:bottom w:val="none" w:sz="0" w:space="0" w:color="auto"/>
        <w:right w:val="none" w:sz="0" w:space="0" w:color="auto"/>
      </w:divBdr>
      <w:divsChild>
        <w:div w:id="1318144829">
          <w:marLeft w:val="0"/>
          <w:marRight w:val="0"/>
          <w:marTop w:val="0"/>
          <w:marBottom w:val="0"/>
          <w:divBdr>
            <w:top w:val="none" w:sz="0" w:space="0" w:color="auto"/>
            <w:left w:val="none" w:sz="0" w:space="0" w:color="auto"/>
            <w:bottom w:val="none" w:sz="0" w:space="0" w:color="auto"/>
            <w:right w:val="none" w:sz="0" w:space="0" w:color="auto"/>
          </w:divBdr>
        </w:div>
        <w:div w:id="227037207">
          <w:marLeft w:val="0"/>
          <w:marRight w:val="0"/>
          <w:marTop w:val="0"/>
          <w:marBottom w:val="0"/>
          <w:divBdr>
            <w:top w:val="none" w:sz="0" w:space="0" w:color="auto"/>
            <w:left w:val="none" w:sz="0" w:space="0" w:color="auto"/>
            <w:bottom w:val="none" w:sz="0" w:space="0" w:color="auto"/>
            <w:right w:val="none" w:sz="0" w:space="0" w:color="auto"/>
          </w:divBdr>
        </w:div>
      </w:divsChild>
    </w:div>
    <w:div w:id="187703685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117" Type="http://schemas.openxmlformats.org/officeDocument/2006/relationships/image" Target="media/image72.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image" Target="media/image35.png"/><Relationship Id="rId63" Type="http://schemas.openxmlformats.org/officeDocument/2006/relationships/hyperlink" Target="http://nwifc.org/about-us/habitat/sshiap/" TargetMode="External"/><Relationship Id="rId68" Type="http://schemas.openxmlformats.org/officeDocument/2006/relationships/hyperlink" Target="https://maps.squaxin.us/flex/hotss/" TargetMode="External"/><Relationship Id="rId84" Type="http://schemas.openxmlformats.org/officeDocument/2006/relationships/hyperlink" Target="http://www.co.thurston.wa.us/planning/hcp/hcp-home.htm" TargetMode="External"/><Relationship Id="rId89" Type="http://schemas.openxmlformats.org/officeDocument/2006/relationships/image" Target="media/image44.jpeg"/><Relationship Id="rId112" Type="http://schemas.openxmlformats.org/officeDocument/2006/relationships/image" Target="media/image67.jpg"/><Relationship Id="rId133" Type="http://schemas.openxmlformats.org/officeDocument/2006/relationships/image" Target="media/image86.png"/><Relationship Id="rId138" Type="http://schemas.openxmlformats.org/officeDocument/2006/relationships/image" Target="media/image89.emf"/><Relationship Id="rId16" Type="http://schemas.openxmlformats.org/officeDocument/2006/relationships/header" Target="header2.xml"/><Relationship Id="rId107" Type="http://schemas.openxmlformats.org/officeDocument/2006/relationships/image" Target="media/image62.emf"/><Relationship Id="rId11" Type="http://schemas.openxmlformats.org/officeDocument/2006/relationships/image" Target="media/image20.jpeg"/><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header" Target="header4.xml"/><Relationship Id="rId58" Type="http://schemas.openxmlformats.org/officeDocument/2006/relationships/image" Target="media/image40.jpg"/><Relationship Id="rId74" Type="http://schemas.openxmlformats.org/officeDocument/2006/relationships/hyperlink" Target="http://waterdata.usgs.gov/wa/nwis/current?type=sopuget" TargetMode="External"/><Relationship Id="rId79" Type="http://schemas.openxmlformats.org/officeDocument/2006/relationships/hyperlink" Target="http://maps.nwifc.org/swifd/" TargetMode="External"/><Relationship Id="rId102" Type="http://schemas.openxmlformats.org/officeDocument/2006/relationships/image" Target="media/image57.jpg"/><Relationship Id="rId123" Type="http://schemas.openxmlformats.org/officeDocument/2006/relationships/image" Target="media/image78.jpeg"/><Relationship Id="rId128" Type="http://schemas.openxmlformats.org/officeDocument/2006/relationships/image" Target="media/image83.png"/><Relationship Id="rId144" Type="http://schemas.openxmlformats.org/officeDocument/2006/relationships/image" Target="media/image92.png"/><Relationship Id="rId149"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45.emf"/><Relationship Id="rId95" Type="http://schemas.openxmlformats.org/officeDocument/2006/relationships/image" Target="media/image50.jpeg"/><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hyperlink" Target="https://maps.squaxin.us/flex/hotss/" TargetMode="External"/><Relationship Id="rId69" Type="http://schemas.openxmlformats.org/officeDocument/2006/relationships/hyperlink" Target="http://wdfw.wa.gov/conservation/research/projects/marine_fish_monitoring/herring_population_assessment/" TargetMode="External"/><Relationship Id="rId113" Type="http://schemas.openxmlformats.org/officeDocument/2006/relationships/image" Target="media/image68.jpg"/><Relationship Id="rId118" Type="http://schemas.openxmlformats.org/officeDocument/2006/relationships/image" Target="media/image73.emf"/><Relationship Id="rId134" Type="http://schemas.openxmlformats.org/officeDocument/2006/relationships/image" Target="media/image87.png"/><Relationship Id="rId139" Type="http://schemas.openxmlformats.org/officeDocument/2006/relationships/hyperlink" Target="http://www.piercecountywa.org/ArchiveCenter/ViewFile/Item/3300" TargetMode="External"/><Relationship Id="rId80" Type="http://schemas.openxmlformats.org/officeDocument/2006/relationships/hyperlink" Target="http://www1.dnr.wa.gov/nhp/refdesk/gis/wnhpgis.html" TargetMode="External"/><Relationship Id="rId85" Type="http://schemas.openxmlformats.org/officeDocument/2006/relationships/hyperlink" Target="https://www.conservationgateway.org/ConservationPlanning/SettingPriorities/EcoregionalReports/Documents/WPG_Ecoregional_Assessment.pdf" TargetMode="External"/><Relationship Id="rId150"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3.jpeg"/><Relationship Id="rId17" Type="http://schemas.openxmlformats.org/officeDocument/2006/relationships/image" Target="media/image5.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59" Type="http://schemas.openxmlformats.org/officeDocument/2006/relationships/hyperlink" Target="https://coast.noaa.gov/dataregistry/search/dataset/29B19ED9-7564-4820-9947-937A40793204" TargetMode="External"/><Relationship Id="rId67" Type="http://schemas.openxmlformats.org/officeDocument/2006/relationships/hyperlink" Target="http://www.dnr.wa.gov/programs-and-services/aquatics/aquatic-science/nearshore-habitat-eelgrass-monitoring" TargetMode="External"/><Relationship Id="rId103" Type="http://schemas.openxmlformats.org/officeDocument/2006/relationships/image" Target="media/image58.emf"/><Relationship Id="rId108" Type="http://schemas.openxmlformats.org/officeDocument/2006/relationships/image" Target="media/image63.jpg"/><Relationship Id="rId116" Type="http://schemas.openxmlformats.org/officeDocument/2006/relationships/image" Target="media/image71.jpg"/><Relationship Id="rId124" Type="http://schemas.openxmlformats.org/officeDocument/2006/relationships/image" Target="media/image79.jpeg"/><Relationship Id="rId129" Type="http://schemas.openxmlformats.org/officeDocument/2006/relationships/hyperlink" Target="http://pugetsoundstreambenthos.org/Biotic-Integrity-Map.aspx" TargetMode="External"/><Relationship Id="rId137" Type="http://schemas.openxmlformats.org/officeDocument/2006/relationships/image" Target="media/image88.png"/><Relationship Id="rId20" Type="http://schemas.openxmlformats.org/officeDocument/2006/relationships/image" Target="media/image8.jpeg"/><Relationship Id="rId41" Type="http://schemas.openxmlformats.org/officeDocument/2006/relationships/image" Target="media/image29.png"/><Relationship Id="rId54" Type="http://schemas.openxmlformats.org/officeDocument/2006/relationships/image" Target="media/image38.png"/><Relationship Id="rId62" Type="http://schemas.openxmlformats.org/officeDocument/2006/relationships/hyperlink" Target="https://www.arcgis.com/home/item.html?id=00dadc1fedac438181b2c703f1f45f2b" TargetMode="External"/><Relationship Id="rId70" Type="http://schemas.openxmlformats.org/officeDocument/2006/relationships/hyperlink" Target="https://fortress.wa.gov/doh/eh/maps/biotoxin/biotoxin.html" TargetMode="External"/><Relationship Id="rId75" Type="http://schemas.openxmlformats.org/officeDocument/2006/relationships/hyperlink" Target="http://pugetsoundstreambenthos.org/Biotic-Integrity-Map.aspx" TargetMode="External"/><Relationship Id="rId83" Type="http://schemas.openxmlformats.org/officeDocument/2006/relationships/image" Target="media/image41.png"/><Relationship Id="rId88" Type="http://schemas.openxmlformats.org/officeDocument/2006/relationships/image" Target="media/image43.emf"/><Relationship Id="rId91" Type="http://schemas.openxmlformats.org/officeDocument/2006/relationships/image" Target="media/image46.jpeg"/><Relationship Id="rId96" Type="http://schemas.openxmlformats.org/officeDocument/2006/relationships/image" Target="media/image51.jpeg"/><Relationship Id="rId111" Type="http://schemas.openxmlformats.org/officeDocument/2006/relationships/image" Target="media/image66.jpg"/><Relationship Id="rId132" Type="http://schemas.openxmlformats.org/officeDocument/2006/relationships/hyperlink" Target="http://www.ecy.wa.gov/programs/Eap/mar_wat/index.html" TargetMode="External"/><Relationship Id="rId140" Type="http://schemas.openxmlformats.org/officeDocument/2006/relationships/hyperlink" Target="http://www.co.thurston.wa.us/Health/ehomp/docs/OSSPlanUpdateforHearingFinal.pdf" TargetMode="External"/><Relationship Id="rId145" Type="http://schemas.openxmlformats.org/officeDocument/2006/relationships/image" Target="media/image93.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footer" Target="footer2.xml"/><Relationship Id="rId57" Type="http://schemas.openxmlformats.org/officeDocument/2006/relationships/image" Target="media/image39.jpg"/><Relationship Id="rId106" Type="http://schemas.openxmlformats.org/officeDocument/2006/relationships/image" Target="media/image61.jpg"/><Relationship Id="rId114" Type="http://schemas.openxmlformats.org/officeDocument/2006/relationships/image" Target="media/image69.jpg"/><Relationship Id="rId119" Type="http://schemas.openxmlformats.org/officeDocument/2006/relationships/image" Target="media/image74.emf"/><Relationship Id="rId127" Type="http://schemas.openxmlformats.org/officeDocument/2006/relationships/image" Target="media/image82.emf"/><Relationship Id="rId10" Type="http://schemas.openxmlformats.org/officeDocument/2006/relationships/image" Target="media/image2.jpeg"/><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footer" Target="footer3.xml"/><Relationship Id="rId60" Type="http://schemas.openxmlformats.org/officeDocument/2006/relationships/hyperlink" Target="https://maps.squaxin.us/flex/hotss/" TargetMode="External"/><Relationship Id="rId65" Type="http://schemas.openxmlformats.org/officeDocument/2006/relationships/hyperlink" Target="https://maps.squaxin.us/flex/hotss/" TargetMode="External"/><Relationship Id="rId73" Type="http://schemas.openxmlformats.org/officeDocument/2006/relationships/hyperlink" Target="http://apps.wdfw.wa.gov/fishpassage/" TargetMode="External"/><Relationship Id="rId78" Type="http://schemas.openxmlformats.org/officeDocument/2006/relationships/hyperlink" Target="https://coast.noaa.gov/dataregistry/search/dataset/29B19ED9-7564-4820-9947-937A40793204" TargetMode="External"/><Relationship Id="rId81" Type="http://schemas.openxmlformats.org/officeDocument/2006/relationships/hyperlink" Target="http://gapanalysis.usgs.gov/padus/" TargetMode="External"/><Relationship Id="rId86" Type="http://schemas.openxmlformats.org/officeDocument/2006/relationships/hyperlink" Target="http://cascadiaprairieoak.org/documents/prairie-habitat-management-joint-base-lewis-mcchord-2014-annual-report" TargetMode="External"/><Relationship Id="rId94" Type="http://schemas.openxmlformats.org/officeDocument/2006/relationships/image" Target="media/image49.emf"/><Relationship Id="rId99" Type="http://schemas.openxmlformats.org/officeDocument/2006/relationships/image" Target="media/image54.emf"/><Relationship Id="rId101" Type="http://schemas.openxmlformats.org/officeDocument/2006/relationships/image" Target="media/image56.jpeg"/><Relationship Id="rId122" Type="http://schemas.openxmlformats.org/officeDocument/2006/relationships/image" Target="media/image77.jpg"/><Relationship Id="rId130" Type="http://schemas.openxmlformats.org/officeDocument/2006/relationships/image" Target="media/image84.png"/><Relationship Id="rId135" Type="http://schemas.openxmlformats.org/officeDocument/2006/relationships/hyperlink" Target="http://www.doh.wa.gov/AboutUs/ProgramsandServices/EnvironmentalPublicHealth/EnvironmentalHealthandSafety" TargetMode="External"/><Relationship Id="rId143" Type="http://schemas.openxmlformats.org/officeDocument/2006/relationships/image" Target="media/image91.emf"/><Relationship Id="rId148" Type="http://schemas.openxmlformats.org/officeDocument/2006/relationships/hyperlink" Target="https://en.wikipedia.org/wiki/Harstine_Island,_Washington" TargetMode="External"/><Relationship Id="rId4" Type="http://schemas.openxmlformats.org/officeDocument/2006/relationships/settings" Target="settings.xml"/><Relationship Id="rId9" Type="http://schemas.openxmlformats.org/officeDocument/2006/relationships/image" Target="media/image10.jpeg"/><Relationship Id="rId13" Type="http://schemas.openxmlformats.org/officeDocument/2006/relationships/image" Target="media/image30.jpeg"/><Relationship Id="rId18" Type="http://schemas.openxmlformats.org/officeDocument/2006/relationships/image" Target="media/image6.jpeg"/><Relationship Id="rId39" Type="http://schemas.openxmlformats.org/officeDocument/2006/relationships/image" Target="media/image27.png"/><Relationship Id="rId109" Type="http://schemas.openxmlformats.org/officeDocument/2006/relationships/image" Target="media/image64.emf"/><Relationship Id="rId34" Type="http://schemas.openxmlformats.org/officeDocument/2006/relationships/image" Target="media/image22.png"/><Relationship Id="rId50" Type="http://schemas.openxmlformats.org/officeDocument/2006/relationships/image" Target="media/image37.jpeg"/><Relationship Id="rId55" Type="http://schemas.openxmlformats.org/officeDocument/2006/relationships/header" Target="header5.xml"/><Relationship Id="rId76" Type="http://schemas.openxmlformats.org/officeDocument/2006/relationships/hyperlink" Target="https://fortress.wa.gov/ecy/eap/riverwq/regions/state.asp" TargetMode="External"/><Relationship Id="rId97" Type="http://schemas.openxmlformats.org/officeDocument/2006/relationships/image" Target="media/image52.emf"/><Relationship Id="rId104" Type="http://schemas.openxmlformats.org/officeDocument/2006/relationships/image" Target="media/image59.jpg"/><Relationship Id="rId120" Type="http://schemas.openxmlformats.org/officeDocument/2006/relationships/image" Target="media/image75.jpg"/><Relationship Id="rId125" Type="http://schemas.openxmlformats.org/officeDocument/2006/relationships/image" Target="media/image80.jpg"/><Relationship Id="rId141" Type="http://schemas.openxmlformats.org/officeDocument/2006/relationships/hyperlink" Target="http://www.tpchd.org/files/library/82e56376c9f98f31.pdf" TargetMode="External"/><Relationship Id="rId146" Type="http://schemas.openxmlformats.org/officeDocument/2006/relationships/image" Target="media/image94.emf"/><Relationship Id="rId7" Type="http://schemas.openxmlformats.org/officeDocument/2006/relationships/endnotes" Target="endnotes.xml"/><Relationship Id="rId71" Type="http://schemas.openxmlformats.org/officeDocument/2006/relationships/hyperlink" Target="https://fortress.wa.gov/doh/eh/maps/OSWPViewer/index.html" TargetMode="External"/><Relationship Id="rId92" Type="http://schemas.openxmlformats.org/officeDocument/2006/relationships/image" Target="media/image47.emf"/><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hyperlink" Target="https://maps.squaxin.us/flex/hotss/" TargetMode="External"/><Relationship Id="rId87" Type="http://schemas.openxmlformats.org/officeDocument/2006/relationships/image" Target="media/image42.jpeg"/><Relationship Id="rId110" Type="http://schemas.openxmlformats.org/officeDocument/2006/relationships/image" Target="media/image65.jpg"/><Relationship Id="rId115" Type="http://schemas.openxmlformats.org/officeDocument/2006/relationships/image" Target="media/image70.emf"/><Relationship Id="rId131" Type="http://schemas.openxmlformats.org/officeDocument/2006/relationships/image" Target="media/image85.png"/><Relationship Id="rId136" Type="http://schemas.openxmlformats.org/officeDocument/2006/relationships/header" Target="header6.xml"/><Relationship Id="rId61" Type="http://schemas.openxmlformats.org/officeDocument/2006/relationships/hyperlink" Target="http://www.ecy.wa.gov/programs/sea/shorelines/FeederBluffs/mapping/" TargetMode="External"/><Relationship Id="rId82" Type="http://schemas.openxmlformats.org/officeDocument/2006/relationships/hyperlink" Target="http://www.trpc.org/434/Land-Cover" TargetMode="External"/><Relationship Id="rId19" Type="http://schemas.openxmlformats.org/officeDocument/2006/relationships/image" Target="media/image7.png"/><Relationship Id="rId14" Type="http://schemas.openxmlformats.org/officeDocument/2006/relationships/header" Target="header1.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footer" Target="footer4.xml"/><Relationship Id="rId77" Type="http://schemas.openxmlformats.org/officeDocument/2006/relationships/hyperlink" Target="https://pspwa.app.box.com/v/2015-sos-vitalsigns-report" TargetMode="External"/><Relationship Id="rId100" Type="http://schemas.openxmlformats.org/officeDocument/2006/relationships/image" Target="media/image55.emf"/><Relationship Id="rId105" Type="http://schemas.openxmlformats.org/officeDocument/2006/relationships/image" Target="media/image60.jpg"/><Relationship Id="rId126" Type="http://schemas.openxmlformats.org/officeDocument/2006/relationships/image" Target="media/image81.jpg"/><Relationship Id="rId147" Type="http://schemas.openxmlformats.org/officeDocument/2006/relationships/hyperlink" Target="https://en.wikipedia.org/wiki/Puget_Sound" TargetMode="External"/><Relationship Id="rId8" Type="http://schemas.openxmlformats.org/officeDocument/2006/relationships/image" Target="media/image1.jpeg"/><Relationship Id="rId51" Type="http://schemas.openxmlformats.org/officeDocument/2006/relationships/header" Target="header3.xml"/><Relationship Id="rId72" Type="http://schemas.openxmlformats.org/officeDocument/2006/relationships/hyperlink" Target="https://coast.noaa.gov/dataregistry/search/dataset/29B19ED9-7564-4820-9947-937A40793204" TargetMode="External"/><Relationship Id="rId93" Type="http://schemas.openxmlformats.org/officeDocument/2006/relationships/image" Target="media/image48.jpeg"/><Relationship Id="rId98" Type="http://schemas.openxmlformats.org/officeDocument/2006/relationships/image" Target="media/image53.emf"/><Relationship Id="rId121" Type="http://schemas.openxmlformats.org/officeDocument/2006/relationships/image" Target="media/image76.emf"/><Relationship Id="rId142" Type="http://schemas.openxmlformats.org/officeDocument/2006/relationships/image" Target="media/image90.jpeg"/></Relationships>
</file>

<file path=word/_rels/footnotes.xml.rels><?xml version="1.0" encoding="UTF-8" standalone="yes"?>
<Relationships xmlns="http://schemas.openxmlformats.org/package/2006/relationships"><Relationship Id="rId2" Type="http://schemas.openxmlformats.org/officeDocument/2006/relationships/hyperlink" Target="http://www.westcoast.fisheries.noaa.gov/publications/habitat/fact_sheets/nearshore_habitat.pdf" TargetMode="External"/><Relationship Id="rId1" Type="http://schemas.openxmlformats.org/officeDocument/2006/relationships/hyperlink" Target="http://www.pugetsoundnearshore.org/technical_papers/psnerp_strategies_maps.pdf" TargetMode="External"/></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0AFD676-D96D-4B37-955E-0808E80AE3E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188</Pages>
  <Words>44074</Words>
  <Characters>251226</Characters>
  <Application>Microsoft Office Word</Application>
  <DocSecurity>4</DocSecurity>
  <Lines>2093</Lines>
  <Paragraphs>589</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294711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Stiles, Kari (PSP)</dc:creator>
  <cp:keywords/>
  <dc:description/>
  <cp:lastModifiedBy>Andy Chinn</cp:lastModifiedBy>
  <cp:revision>2</cp:revision>
  <dcterms:created xsi:type="dcterms:W3CDTF">2016-10-03T21:33:00Z</dcterms:created>
  <dcterms:modified xsi:type="dcterms:W3CDTF">2016-10-03T21:33:00Z</dcterms:modified>
</cp:coreProperties>
</file>